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FCA86" w14:textId="77777777" w:rsidR="00FB0753" w:rsidRPr="00F82F3C" w:rsidRDefault="00000000">
      <w:pPr>
        <w:rPr>
          <w:rFonts w:ascii="Times New Roman" w:eastAsia="Times New Roman" w:hAnsi="Times New Roman" w:cs="Times New Roman"/>
          <w:b/>
          <w:bCs/>
          <w:sz w:val="24"/>
          <w:szCs w:val="24"/>
        </w:rPr>
      </w:pPr>
      <w:r w:rsidRPr="00F82F3C">
        <w:rPr>
          <w:rFonts w:ascii="Times New Roman" w:eastAsia="Times New Roman" w:hAnsi="Times New Roman" w:cs="Times New Roman"/>
          <w:b/>
          <w:bCs/>
          <w:sz w:val="24"/>
          <w:szCs w:val="24"/>
        </w:rPr>
        <w:t>INSURANCE ADVISORY COMMITTEE SUMMARY REPORT 3/2/2026</w:t>
      </w:r>
    </w:p>
    <w:p w14:paraId="5E0947D3" w14:textId="5A645674" w:rsidR="00FB075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Prepared by Terri Vorhis for the</w:t>
      </w:r>
      <w:r w:rsidR="00C91C6F">
        <w:rPr>
          <w:rFonts w:ascii="Times New Roman" w:eastAsia="Times New Roman" w:hAnsi="Times New Roman" w:cs="Times New Roman"/>
          <w:sz w:val="24"/>
          <w:szCs w:val="24"/>
        </w:rPr>
        <w:t xml:space="preserve"> TTA</w:t>
      </w:r>
      <w:r>
        <w:rPr>
          <w:rFonts w:ascii="Times New Roman" w:eastAsia="Times New Roman" w:hAnsi="Times New Roman" w:cs="Times New Roman"/>
          <w:sz w:val="24"/>
          <w:szCs w:val="24"/>
        </w:rPr>
        <w:t xml:space="preserve"> Executive Board</w:t>
      </w:r>
      <w:r w:rsidR="00C91C6F">
        <w:rPr>
          <w:rFonts w:ascii="Times New Roman" w:eastAsia="Times New Roman" w:hAnsi="Times New Roman" w:cs="Times New Roman"/>
          <w:sz w:val="24"/>
          <w:szCs w:val="24"/>
        </w:rPr>
        <w:t xml:space="preserve"> in consultation with Paula Woodward</w:t>
      </w:r>
    </w:p>
    <w:p w14:paraId="25155EFE" w14:textId="77777777" w:rsidR="00FB0753" w:rsidRDefault="00FB0753">
      <w:pPr>
        <w:rPr>
          <w:rFonts w:ascii="Times New Roman" w:eastAsia="Times New Roman" w:hAnsi="Times New Roman" w:cs="Times New Roman"/>
          <w:sz w:val="24"/>
          <w:szCs w:val="24"/>
        </w:rPr>
      </w:pPr>
    </w:p>
    <w:p w14:paraId="27BCB083" w14:textId="77777777" w:rsidR="00C91C6F" w:rsidRPr="00087023" w:rsidRDefault="00C91C6F">
      <w:pPr>
        <w:rPr>
          <w:rFonts w:ascii="Aptos" w:eastAsia="Times New Roman" w:hAnsi="Aptos" w:cs="Times New Roman"/>
          <w:sz w:val="24"/>
          <w:szCs w:val="24"/>
        </w:rPr>
      </w:pPr>
      <w:r w:rsidRPr="00087023">
        <w:rPr>
          <w:rFonts w:ascii="Aptos" w:eastAsia="Times New Roman" w:hAnsi="Aptos" w:cs="Times New Roman"/>
          <w:sz w:val="24"/>
          <w:szCs w:val="24"/>
        </w:rPr>
        <w:t xml:space="preserve">Dr. Keith Butler started meeting with a review of the bids from larger pools. His perspective is that it currently doesn’t make sense to change healthcare providers or to join a larger pool for the upcoming 26-27 fiscal year based on many factors, including the fact that only one bid came through out of four requests for proposals. </w:t>
      </w:r>
    </w:p>
    <w:p w14:paraId="19114ED6" w14:textId="77777777" w:rsidR="00C91C6F" w:rsidRPr="00087023" w:rsidRDefault="00C91C6F">
      <w:pPr>
        <w:rPr>
          <w:rFonts w:ascii="Aptos" w:eastAsia="Times New Roman" w:hAnsi="Aptos" w:cs="Times New Roman"/>
          <w:sz w:val="24"/>
          <w:szCs w:val="24"/>
        </w:rPr>
      </w:pPr>
    </w:p>
    <w:p w14:paraId="4EAB182C" w14:textId="1B054131" w:rsidR="00473548" w:rsidRPr="00087023" w:rsidRDefault="00C91C6F">
      <w:pPr>
        <w:rPr>
          <w:rFonts w:ascii="Aptos" w:eastAsia="Times New Roman" w:hAnsi="Aptos" w:cs="Times New Roman"/>
          <w:sz w:val="24"/>
          <w:szCs w:val="24"/>
        </w:rPr>
      </w:pPr>
      <w:r w:rsidRPr="00087023">
        <w:rPr>
          <w:rFonts w:ascii="Aptos" w:eastAsia="Times New Roman" w:hAnsi="Aptos" w:cs="Times New Roman"/>
          <w:sz w:val="24"/>
          <w:szCs w:val="24"/>
        </w:rPr>
        <w:t xml:space="preserve">TUSD sent requests for proposals to SISC, CVT, ASCIP, and VEBA. VEBA made the only bid. CalPERS Platinum PPO was added to the list for comparison as well. The committee asked to see CalPERS Gold in comparison. Dr. Butler said that they would send that information to members of the committee by month’s end. SICS, CVT, and ASCIP declined to quote because they said their prices would not be competitive with our current rates based upon current utilization numbers. </w:t>
      </w:r>
      <w:r w:rsidR="00473548" w:rsidRPr="00087023">
        <w:rPr>
          <w:rFonts w:ascii="Aptos" w:eastAsia="Times New Roman" w:hAnsi="Aptos" w:cs="Times New Roman"/>
          <w:sz w:val="24"/>
          <w:szCs w:val="24"/>
        </w:rPr>
        <w:t xml:space="preserve">Mainly our plan history was </w:t>
      </w:r>
      <w:proofErr w:type="gramStart"/>
      <w:r w:rsidR="00473548" w:rsidRPr="00087023">
        <w:rPr>
          <w:rFonts w:ascii="Aptos" w:eastAsia="Times New Roman" w:hAnsi="Aptos" w:cs="Times New Roman"/>
          <w:sz w:val="24"/>
          <w:szCs w:val="24"/>
        </w:rPr>
        <w:t>really bad</w:t>
      </w:r>
      <w:proofErr w:type="gramEnd"/>
      <w:r w:rsidR="00473548" w:rsidRPr="00087023">
        <w:rPr>
          <w:rFonts w:ascii="Aptos" w:eastAsia="Times New Roman" w:hAnsi="Aptos" w:cs="Times New Roman"/>
          <w:sz w:val="24"/>
          <w:szCs w:val="24"/>
        </w:rPr>
        <w:t xml:space="preserve"> last year with our usage and our large cost claims. Other </w:t>
      </w:r>
      <w:proofErr w:type="gramStart"/>
      <w:r w:rsidR="00473548" w:rsidRPr="00087023">
        <w:rPr>
          <w:rFonts w:ascii="Aptos" w:eastAsia="Times New Roman" w:hAnsi="Aptos" w:cs="Times New Roman"/>
          <w:sz w:val="24"/>
          <w:szCs w:val="24"/>
        </w:rPr>
        <w:t>factors</w:t>
      </w:r>
      <w:proofErr w:type="gramEnd"/>
      <w:r w:rsidR="00473548" w:rsidRPr="00087023">
        <w:rPr>
          <w:rFonts w:ascii="Aptos" w:eastAsia="Times New Roman" w:hAnsi="Aptos" w:cs="Times New Roman"/>
          <w:sz w:val="24"/>
          <w:szCs w:val="24"/>
        </w:rPr>
        <w:t xml:space="preserve"> that could possibly be a factor is that our pool is getting smaller when people go off </w:t>
      </w:r>
      <w:proofErr w:type="gramStart"/>
      <w:r w:rsidR="00473548" w:rsidRPr="00087023">
        <w:rPr>
          <w:rFonts w:ascii="Aptos" w:eastAsia="Times New Roman" w:hAnsi="Aptos" w:cs="Times New Roman"/>
          <w:sz w:val="24"/>
          <w:szCs w:val="24"/>
        </w:rPr>
        <w:t>plan</w:t>
      </w:r>
      <w:proofErr w:type="gramEnd"/>
      <w:r w:rsidR="00473548" w:rsidRPr="00087023">
        <w:rPr>
          <w:rFonts w:ascii="Aptos" w:eastAsia="Times New Roman" w:hAnsi="Aptos" w:cs="Times New Roman"/>
          <w:sz w:val="24"/>
          <w:szCs w:val="24"/>
        </w:rPr>
        <w:t xml:space="preserve"> and the age factor could be an issue too. </w:t>
      </w:r>
      <w:r w:rsidRPr="00087023">
        <w:rPr>
          <w:rFonts w:ascii="Aptos" w:eastAsia="Times New Roman" w:hAnsi="Aptos" w:cs="Times New Roman"/>
          <w:sz w:val="24"/>
          <w:szCs w:val="24"/>
        </w:rPr>
        <w:t xml:space="preserve">Dr. Butler is hopeful that this year’s utilization numbers will hold steady </w:t>
      </w:r>
      <w:r w:rsidR="00473548" w:rsidRPr="00087023">
        <w:rPr>
          <w:rFonts w:ascii="Aptos" w:eastAsia="Times New Roman" w:hAnsi="Aptos" w:cs="Times New Roman"/>
          <w:sz w:val="24"/>
          <w:szCs w:val="24"/>
        </w:rPr>
        <w:t>to create the chance for a bid next year.</w:t>
      </w:r>
      <w:r w:rsidRPr="00087023">
        <w:rPr>
          <w:rFonts w:ascii="Aptos" w:eastAsia="Times New Roman" w:hAnsi="Aptos" w:cs="Times New Roman"/>
          <w:sz w:val="24"/>
          <w:szCs w:val="24"/>
        </w:rPr>
        <w:t xml:space="preserve">   </w:t>
      </w:r>
    </w:p>
    <w:p w14:paraId="6BBFE35F" w14:textId="77777777" w:rsidR="00473548" w:rsidRPr="00087023" w:rsidRDefault="00473548" w:rsidP="00473548">
      <w:pPr>
        <w:rPr>
          <w:rFonts w:ascii="Aptos" w:eastAsia="Times New Roman" w:hAnsi="Aptos" w:cs="Times New Roman"/>
          <w:sz w:val="24"/>
          <w:szCs w:val="24"/>
        </w:rPr>
      </w:pPr>
    </w:p>
    <w:p w14:paraId="76F29A02" w14:textId="2B601A9F" w:rsidR="00A06EB5" w:rsidRPr="00087023" w:rsidRDefault="00473548" w:rsidP="00A06EB5">
      <w:pPr>
        <w:rPr>
          <w:rFonts w:ascii="Aptos" w:eastAsia="Times New Roman" w:hAnsi="Aptos" w:cs="Times New Roman"/>
          <w:sz w:val="24"/>
          <w:szCs w:val="24"/>
        </w:rPr>
      </w:pPr>
      <w:r w:rsidRPr="00087023">
        <w:rPr>
          <w:rFonts w:ascii="Aptos" w:eastAsia="Times New Roman" w:hAnsi="Aptos" w:cs="Times New Roman"/>
          <w:sz w:val="24"/>
          <w:szCs w:val="24"/>
        </w:rPr>
        <w:t>The one large pool that did bid, VEBA, is projected to have a 16% increase from our current rates. The plan would switch us from Anthem to United Healthcare, which is a narrower network (meaning that some people would have to switch to new doctors). The plan year would also switch from beginning in October to beginning in January with a fall open enrollment period. This could cause some issues in the benefits and payroll departments on the front end during set up. While TUSD is looking to join a larger pool, which would replace our currently self-funded TUSD EPO, Dr. Butler did not seem eager to make a huge change when the cost of the premiums would be about the same for employees.</w:t>
      </w:r>
      <w:r w:rsidR="00A06EB5" w:rsidRPr="00087023">
        <w:rPr>
          <w:rFonts w:ascii="Aptos" w:eastAsia="Times New Roman" w:hAnsi="Aptos" w:cs="Times New Roman"/>
          <w:sz w:val="24"/>
          <w:szCs w:val="24"/>
        </w:rPr>
        <w:t xml:space="preserve"> On a side note, Kaiser rates with TUSD have had a five year average of 5% increase while with VEBA it was almost 8%. The Insurance Advisory Committee</w:t>
      </w:r>
      <w:r w:rsidR="00087023" w:rsidRPr="00087023">
        <w:rPr>
          <w:rFonts w:ascii="Aptos" w:eastAsia="Times New Roman" w:hAnsi="Aptos" w:cs="Times New Roman"/>
          <w:sz w:val="24"/>
          <w:szCs w:val="24"/>
        </w:rPr>
        <w:t xml:space="preserve"> (IAC)</w:t>
      </w:r>
      <w:r w:rsidR="00A06EB5" w:rsidRPr="00087023">
        <w:rPr>
          <w:rFonts w:ascii="Aptos" w:eastAsia="Times New Roman" w:hAnsi="Aptos" w:cs="Times New Roman"/>
          <w:sz w:val="24"/>
          <w:szCs w:val="24"/>
        </w:rPr>
        <w:t xml:space="preserve"> are looking at everything, the network, premiums, premiums less the subsidy, the office visit cost, emergency rooms out-of-pocket expenses, etc., plus how it affects the Kaiser renewal if we were to switch. </w:t>
      </w:r>
    </w:p>
    <w:p w14:paraId="4CB0F6B2" w14:textId="77777777" w:rsidR="00A06EB5" w:rsidRPr="00087023" w:rsidRDefault="00A06EB5" w:rsidP="00A06EB5">
      <w:pPr>
        <w:rPr>
          <w:rFonts w:ascii="Aptos" w:eastAsia="Times New Roman" w:hAnsi="Aptos" w:cs="Times New Roman"/>
          <w:sz w:val="24"/>
          <w:szCs w:val="24"/>
        </w:rPr>
      </w:pPr>
    </w:p>
    <w:p w14:paraId="0A9E98FE" w14:textId="540B3304" w:rsidR="00A06EB5" w:rsidRPr="00087023" w:rsidRDefault="00A06EB5" w:rsidP="00A06EB5">
      <w:pPr>
        <w:rPr>
          <w:rFonts w:ascii="Aptos" w:eastAsia="Times New Roman" w:hAnsi="Aptos" w:cs="Times New Roman"/>
          <w:sz w:val="24"/>
          <w:szCs w:val="24"/>
        </w:rPr>
      </w:pPr>
      <w:r w:rsidRPr="00087023">
        <w:rPr>
          <w:rFonts w:ascii="Aptos" w:eastAsia="Times New Roman" w:hAnsi="Aptos" w:cs="Times New Roman"/>
          <w:sz w:val="24"/>
          <w:szCs w:val="24"/>
        </w:rPr>
        <w:t xml:space="preserve">Joining a larger pool means stability in rates over time BUT no control over the rates or the plan design. </w:t>
      </w:r>
    </w:p>
    <w:p w14:paraId="1B14290D" w14:textId="718F7016" w:rsidR="00A06EB5" w:rsidRPr="00087023" w:rsidRDefault="00A06EB5" w:rsidP="00A06EB5">
      <w:pPr>
        <w:rPr>
          <w:rFonts w:ascii="Aptos" w:eastAsia="Times New Roman" w:hAnsi="Aptos" w:cs="Times New Roman"/>
          <w:sz w:val="24"/>
          <w:szCs w:val="24"/>
        </w:rPr>
      </w:pPr>
      <w:r w:rsidRPr="00087023">
        <w:rPr>
          <w:rFonts w:ascii="Aptos" w:eastAsia="Times New Roman" w:hAnsi="Aptos" w:cs="Times New Roman"/>
          <w:sz w:val="24"/>
          <w:szCs w:val="24"/>
        </w:rPr>
        <w:t xml:space="preserve">Self-funded plans allow for more flexibility and can provide a richer benefit to the </w:t>
      </w:r>
      <w:proofErr w:type="gramStart"/>
      <w:r w:rsidRPr="00087023">
        <w:rPr>
          <w:rFonts w:ascii="Aptos" w:eastAsia="Times New Roman" w:hAnsi="Aptos" w:cs="Times New Roman"/>
          <w:sz w:val="24"/>
          <w:szCs w:val="24"/>
        </w:rPr>
        <w:t>user,</w:t>
      </w:r>
      <w:proofErr w:type="gramEnd"/>
      <w:r w:rsidRPr="00087023">
        <w:rPr>
          <w:rFonts w:ascii="Aptos" w:eastAsia="Times New Roman" w:hAnsi="Aptos" w:cs="Times New Roman"/>
          <w:sz w:val="24"/>
          <w:szCs w:val="24"/>
        </w:rPr>
        <w:t xml:space="preserve"> however they will decrease in size over time which in turn results in less stability with rates. TUSD is a self-funded provider. We can make changes to the plan (office co-pays, deductibles, what is covered, </w:t>
      </w:r>
      <w:proofErr w:type="spellStart"/>
      <w:r w:rsidRPr="00087023">
        <w:rPr>
          <w:rFonts w:ascii="Aptos" w:eastAsia="Times New Roman" w:hAnsi="Aptos" w:cs="Times New Roman"/>
          <w:sz w:val="24"/>
          <w:szCs w:val="24"/>
        </w:rPr>
        <w:t>etc</w:t>
      </w:r>
      <w:proofErr w:type="spellEnd"/>
      <w:r w:rsidRPr="00087023">
        <w:rPr>
          <w:rFonts w:ascii="Aptos" w:eastAsia="Times New Roman" w:hAnsi="Aptos" w:cs="Times New Roman"/>
          <w:sz w:val="24"/>
          <w:szCs w:val="24"/>
        </w:rPr>
        <w:t xml:space="preserve">) to try to manipulate the overall premium on an annual basis when we see changes need to be made. </w:t>
      </w:r>
      <w:proofErr w:type="gramStart"/>
      <w:r w:rsidRPr="00087023">
        <w:rPr>
          <w:rFonts w:ascii="Aptos" w:eastAsia="Times New Roman" w:hAnsi="Aptos" w:cs="Times New Roman"/>
          <w:sz w:val="24"/>
          <w:szCs w:val="24"/>
        </w:rPr>
        <w:t>Matter</w:t>
      </w:r>
      <w:proofErr w:type="gramEnd"/>
      <w:r w:rsidRPr="00087023">
        <w:rPr>
          <w:rFonts w:ascii="Aptos" w:eastAsia="Times New Roman" w:hAnsi="Aptos" w:cs="Times New Roman"/>
          <w:sz w:val="24"/>
          <w:szCs w:val="24"/>
        </w:rPr>
        <w:t xml:space="preserve"> of fact, the committee explored plan changes last </w:t>
      </w:r>
      <w:proofErr w:type="gramStart"/>
      <w:r w:rsidRPr="00087023">
        <w:rPr>
          <w:rFonts w:ascii="Aptos" w:eastAsia="Times New Roman" w:hAnsi="Aptos" w:cs="Times New Roman"/>
          <w:sz w:val="24"/>
          <w:szCs w:val="24"/>
        </w:rPr>
        <w:t>year, but</w:t>
      </w:r>
      <w:proofErr w:type="gramEnd"/>
      <w:r w:rsidRPr="00087023">
        <w:rPr>
          <w:rFonts w:ascii="Aptos" w:eastAsia="Times New Roman" w:hAnsi="Aptos" w:cs="Times New Roman"/>
          <w:sz w:val="24"/>
          <w:szCs w:val="24"/>
        </w:rPr>
        <w:t xml:space="preserve"> did not see positive change in the cost </w:t>
      </w:r>
      <w:proofErr w:type="gramStart"/>
      <w:r w:rsidRPr="00087023">
        <w:rPr>
          <w:rFonts w:ascii="Aptos" w:eastAsia="Times New Roman" w:hAnsi="Aptos" w:cs="Times New Roman"/>
          <w:sz w:val="24"/>
          <w:szCs w:val="24"/>
        </w:rPr>
        <w:t>to</w:t>
      </w:r>
      <w:proofErr w:type="gramEnd"/>
      <w:r w:rsidRPr="00087023">
        <w:rPr>
          <w:rFonts w:ascii="Aptos" w:eastAsia="Times New Roman" w:hAnsi="Aptos" w:cs="Times New Roman"/>
          <w:sz w:val="24"/>
          <w:szCs w:val="24"/>
        </w:rPr>
        <w:t xml:space="preserve"> employees.</w:t>
      </w:r>
      <w:r w:rsidR="00087023" w:rsidRPr="00087023">
        <w:rPr>
          <w:rFonts w:ascii="Aptos" w:eastAsia="Times New Roman" w:hAnsi="Aptos" w:cs="Times New Roman"/>
          <w:sz w:val="24"/>
          <w:szCs w:val="24"/>
        </w:rPr>
        <w:t xml:space="preserve"> As TTA representatives to the IAC, we believe the only way to stay self-funded effectively is to have an infusion of cash into the health care pot to restore the subsidy.  The only way that happens is by negotiating higher fringe contributions.  If we continue to only get salary increases then the subsidies dry up, the costs continually increase, and the pool continues to dwindle in size. This is currently forcing the district to bid on moving to a larger pool and have little to no control over our plan and projected increases.</w:t>
      </w:r>
    </w:p>
    <w:p w14:paraId="3920230C" w14:textId="77777777" w:rsidR="00087023" w:rsidRPr="00087023" w:rsidRDefault="00087023" w:rsidP="00A06EB5">
      <w:pPr>
        <w:rPr>
          <w:rFonts w:ascii="Aptos" w:eastAsia="Times New Roman" w:hAnsi="Aptos" w:cs="Times New Roman"/>
          <w:sz w:val="24"/>
          <w:szCs w:val="24"/>
        </w:rPr>
      </w:pPr>
    </w:p>
    <w:p w14:paraId="5FCDD0E9" w14:textId="75BC5819" w:rsidR="00087023" w:rsidRPr="00087023" w:rsidRDefault="00087023" w:rsidP="00087023">
      <w:pPr>
        <w:shd w:val="clear" w:color="auto" w:fill="FFFFFF"/>
        <w:spacing w:line="335" w:lineRule="auto"/>
        <w:rPr>
          <w:rFonts w:ascii="Aptos" w:eastAsia="Roboto" w:hAnsi="Aptos" w:cs="Roboto"/>
          <w:color w:val="0A0A0A"/>
          <w:sz w:val="30"/>
          <w:szCs w:val="30"/>
        </w:rPr>
      </w:pPr>
      <w:r w:rsidRPr="00087023">
        <w:rPr>
          <w:rFonts w:ascii="Aptos" w:eastAsia="Roboto" w:hAnsi="Aptos" w:cs="Roboto"/>
          <w:color w:val="0A0A0A"/>
          <w:sz w:val="30"/>
          <w:szCs w:val="30"/>
        </w:rPr>
        <w:lastRenderedPageBreak/>
        <w:t>Comparison: Self-Funded vs. Large Pool</w:t>
      </w:r>
    </w:p>
    <w:tbl>
      <w:tblPr>
        <w:tblStyle w:val="a"/>
        <w:tblW w:w="106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20"/>
        <w:gridCol w:w="4230"/>
        <w:gridCol w:w="4770"/>
      </w:tblGrid>
      <w:tr w:rsidR="00087023" w:rsidRPr="00087023" w14:paraId="1E52F3D5" w14:textId="77777777" w:rsidTr="00762F6E">
        <w:trPr>
          <w:trHeight w:val="600"/>
        </w:trPr>
        <w:tc>
          <w:tcPr>
            <w:tcW w:w="1620" w:type="dxa"/>
            <w:tcBorders>
              <w:top w:val="nil"/>
              <w:left w:val="nil"/>
              <w:bottom w:val="single" w:sz="6" w:space="0" w:color="DCDFE5"/>
              <w:right w:val="nil"/>
            </w:tcBorders>
            <w:tcMar>
              <w:top w:w="120" w:type="dxa"/>
              <w:left w:w="0" w:type="dxa"/>
              <w:bottom w:w="120" w:type="dxa"/>
              <w:right w:w="240" w:type="dxa"/>
            </w:tcMar>
          </w:tcPr>
          <w:p w14:paraId="75D460FE" w14:textId="77777777" w:rsidR="00087023" w:rsidRPr="00087023" w:rsidRDefault="00087023"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Feature</w:t>
            </w:r>
          </w:p>
        </w:tc>
        <w:tc>
          <w:tcPr>
            <w:tcW w:w="4230" w:type="dxa"/>
            <w:tcBorders>
              <w:top w:val="nil"/>
              <w:left w:val="nil"/>
              <w:bottom w:val="single" w:sz="6" w:space="0" w:color="DCDFE5"/>
              <w:right w:val="nil"/>
            </w:tcBorders>
            <w:tcMar>
              <w:top w:w="120" w:type="dxa"/>
              <w:left w:w="0" w:type="dxa"/>
              <w:bottom w:w="120" w:type="dxa"/>
              <w:right w:w="240" w:type="dxa"/>
            </w:tcMar>
          </w:tcPr>
          <w:p w14:paraId="6F99F51E" w14:textId="77777777" w:rsidR="00087023" w:rsidRPr="00087023" w:rsidRDefault="00087023"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Self-Funded (Current TUSD)</w:t>
            </w:r>
          </w:p>
        </w:tc>
        <w:tc>
          <w:tcPr>
            <w:tcW w:w="4770" w:type="dxa"/>
            <w:tcBorders>
              <w:top w:val="nil"/>
              <w:left w:val="nil"/>
              <w:bottom w:val="single" w:sz="6" w:space="0" w:color="DCDFE5"/>
              <w:right w:val="nil"/>
            </w:tcBorders>
            <w:tcMar>
              <w:top w:w="120" w:type="dxa"/>
              <w:left w:w="0" w:type="dxa"/>
              <w:bottom w:w="120" w:type="dxa"/>
              <w:right w:w="0" w:type="dxa"/>
            </w:tcMar>
          </w:tcPr>
          <w:p w14:paraId="005D820E" w14:textId="77777777" w:rsidR="00087023" w:rsidRPr="00087023" w:rsidRDefault="00087023"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Large Pool (e.g., VEBA)</w:t>
            </w:r>
          </w:p>
        </w:tc>
      </w:tr>
      <w:tr w:rsidR="00087023" w:rsidRPr="00087023" w14:paraId="1F8092F7" w14:textId="77777777" w:rsidTr="00762F6E">
        <w:trPr>
          <w:trHeight w:val="1365"/>
        </w:trPr>
        <w:tc>
          <w:tcPr>
            <w:tcW w:w="1620" w:type="dxa"/>
            <w:tcBorders>
              <w:top w:val="nil"/>
              <w:left w:val="nil"/>
              <w:bottom w:val="single" w:sz="6" w:space="0" w:color="DCDFE5"/>
              <w:right w:val="nil"/>
            </w:tcBorders>
            <w:tcMar>
              <w:top w:w="180" w:type="dxa"/>
              <w:left w:w="0" w:type="dxa"/>
              <w:bottom w:w="180" w:type="dxa"/>
              <w:right w:w="240" w:type="dxa"/>
            </w:tcMar>
          </w:tcPr>
          <w:p w14:paraId="6F60F451" w14:textId="77777777" w:rsidR="00087023" w:rsidRPr="00087023" w:rsidRDefault="00087023"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Control</w:t>
            </w:r>
          </w:p>
        </w:tc>
        <w:tc>
          <w:tcPr>
            <w:tcW w:w="4230" w:type="dxa"/>
            <w:tcBorders>
              <w:top w:val="nil"/>
              <w:left w:val="nil"/>
              <w:bottom w:val="single" w:sz="6" w:space="0" w:color="DCDFE5"/>
              <w:right w:val="nil"/>
            </w:tcBorders>
            <w:tcMar>
              <w:top w:w="180" w:type="dxa"/>
              <w:left w:w="0" w:type="dxa"/>
              <w:bottom w:w="180" w:type="dxa"/>
              <w:right w:w="240" w:type="dxa"/>
            </w:tcMar>
          </w:tcPr>
          <w:p w14:paraId="7589A9A7" w14:textId="77777777" w:rsidR="00087023" w:rsidRPr="00087023" w:rsidRDefault="00087023"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High:</w:t>
            </w:r>
            <w:r w:rsidRPr="00087023">
              <w:rPr>
                <w:rFonts w:ascii="Aptos" w:eastAsia="Roboto" w:hAnsi="Aptos" w:cs="Roboto"/>
                <w:color w:val="0A0A0A"/>
                <w:sz w:val="21"/>
                <w:szCs w:val="21"/>
              </w:rPr>
              <w:t xml:space="preserve"> TUSD can adjust co-pays, deductibles, and coverage to manage premiums.</w:t>
            </w:r>
          </w:p>
        </w:tc>
        <w:tc>
          <w:tcPr>
            <w:tcW w:w="4770" w:type="dxa"/>
            <w:tcBorders>
              <w:top w:val="nil"/>
              <w:left w:val="nil"/>
              <w:bottom w:val="single" w:sz="6" w:space="0" w:color="DCDFE5"/>
              <w:right w:val="nil"/>
            </w:tcBorders>
            <w:tcMar>
              <w:top w:w="180" w:type="dxa"/>
              <w:left w:w="0" w:type="dxa"/>
              <w:bottom w:w="180" w:type="dxa"/>
              <w:right w:w="0" w:type="dxa"/>
            </w:tcMar>
          </w:tcPr>
          <w:p w14:paraId="3D3E70F7" w14:textId="77777777" w:rsidR="00087023" w:rsidRPr="00087023" w:rsidRDefault="00087023"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None:</w:t>
            </w:r>
            <w:r w:rsidRPr="00087023">
              <w:rPr>
                <w:rFonts w:ascii="Aptos" w:eastAsia="Roboto" w:hAnsi="Aptos" w:cs="Roboto"/>
                <w:color w:val="0A0A0A"/>
                <w:sz w:val="21"/>
                <w:szCs w:val="21"/>
              </w:rPr>
              <w:t xml:space="preserve"> The pool sets the rates and the plan design for everyone.</w:t>
            </w:r>
          </w:p>
        </w:tc>
      </w:tr>
      <w:tr w:rsidR="00087023" w:rsidRPr="00087023" w14:paraId="19BA3377" w14:textId="77777777" w:rsidTr="00762F6E">
        <w:trPr>
          <w:trHeight w:val="1035"/>
        </w:trPr>
        <w:tc>
          <w:tcPr>
            <w:tcW w:w="1620" w:type="dxa"/>
            <w:tcBorders>
              <w:top w:val="nil"/>
              <w:left w:val="nil"/>
              <w:bottom w:val="single" w:sz="6" w:space="0" w:color="DCDFE5"/>
              <w:right w:val="nil"/>
            </w:tcBorders>
            <w:tcMar>
              <w:top w:w="180" w:type="dxa"/>
              <w:left w:w="0" w:type="dxa"/>
              <w:bottom w:w="180" w:type="dxa"/>
              <w:right w:w="240" w:type="dxa"/>
            </w:tcMar>
          </w:tcPr>
          <w:p w14:paraId="2292E267" w14:textId="77777777" w:rsidR="00087023" w:rsidRPr="00087023" w:rsidRDefault="00087023"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Benefits</w:t>
            </w:r>
          </w:p>
        </w:tc>
        <w:tc>
          <w:tcPr>
            <w:tcW w:w="4230" w:type="dxa"/>
            <w:tcBorders>
              <w:top w:val="nil"/>
              <w:left w:val="nil"/>
              <w:bottom w:val="single" w:sz="6" w:space="0" w:color="DCDFE5"/>
              <w:right w:val="nil"/>
            </w:tcBorders>
            <w:tcMar>
              <w:top w:w="180" w:type="dxa"/>
              <w:left w:w="0" w:type="dxa"/>
              <w:bottom w:w="180" w:type="dxa"/>
              <w:right w:w="240" w:type="dxa"/>
            </w:tcMar>
          </w:tcPr>
          <w:p w14:paraId="780446A2" w14:textId="77777777" w:rsidR="00087023" w:rsidRPr="00087023" w:rsidRDefault="00087023" w:rsidP="00D3559A">
            <w:pPr>
              <w:spacing w:line="377" w:lineRule="auto"/>
              <w:rPr>
                <w:rFonts w:ascii="Aptos" w:eastAsia="Roboto" w:hAnsi="Aptos" w:cs="Roboto"/>
                <w:color w:val="0A0A0A"/>
                <w:sz w:val="21"/>
                <w:szCs w:val="21"/>
              </w:rPr>
            </w:pPr>
            <w:r w:rsidRPr="00087023">
              <w:rPr>
                <w:rFonts w:ascii="Aptos" w:eastAsia="Roboto" w:hAnsi="Aptos" w:cs="Roboto"/>
                <w:color w:val="0A0A0A"/>
                <w:sz w:val="21"/>
                <w:szCs w:val="21"/>
              </w:rPr>
              <w:t xml:space="preserve">Often provides </w:t>
            </w:r>
            <w:r w:rsidRPr="00087023">
              <w:rPr>
                <w:rFonts w:ascii="Aptos" w:eastAsia="Roboto" w:hAnsi="Aptos" w:cs="Roboto"/>
                <w:b/>
                <w:bCs/>
                <w:color w:val="0A0A0A"/>
                <w:sz w:val="21"/>
                <w:szCs w:val="21"/>
              </w:rPr>
              <w:t>richer, more flexible</w:t>
            </w:r>
            <w:r w:rsidRPr="00087023">
              <w:rPr>
                <w:rFonts w:ascii="Aptos" w:eastAsia="Roboto" w:hAnsi="Aptos" w:cs="Roboto"/>
                <w:color w:val="0A0A0A"/>
                <w:sz w:val="21"/>
                <w:szCs w:val="21"/>
              </w:rPr>
              <w:t xml:space="preserve"> benefits for employees.</w:t>
            </w:r>
          </w:p>
        </w:tc>
        <w:tc>
          <w:tcPr>
            <w:tcW w:w="4770" w:type="dxa"/>
            <w:tcBorders>
              <w:top w:val="nil"/>
              <w:left w:val="nil"/>
              <w:bottom w:val="single" w:sz="6" w:space="0" w:color="DCDFE5"/>
              <w:right w:val="nil"/>
            </w:tcBorders>
            <w:tcMar>
              <w:top w:w="180" w:type="dxa"/>
              <w:left w:w="0" w:type="dxa"/>
              <w:bottom w:w="180" w:type="dxa"/>
              <w:right w:w="0" w:type="dxa"/>
            </w:tcMar>
          </w:tcPr>
          <w:p w14:paraId="57169E0D" w14:textId="77777777" w:rsidR="00087023" w:rsidRPr="00087023" w:rsidRDefault="00087023" w:rsidP="00D3559A">
            <w:pPr>
              <w:spacing w:line="377" w:lineRule="auto"/>
              <w:rPr>
                <w:rFonts w:ascii="Aptos" w:eastAsia="Roboto" w:hAnsi="Aptos" w:cs="Roboto"/>
                <w:color w:val="0A0A0A"/>
                <w:sz w:val="21"/>
                <w:szCs w:val="21"/>
              </w:rPr>
            </w:pPr>
            <w:r w:rsidRPr="00087023">
              <w:rPr>
                <w:rFonts w:ascii="Aptos" w:eastAsia="Roboto" w:hAnsi="Aptos" w:cs="Roboto"/>
                <w:color w:val="0A0A0A"/>
                <w:sz w:val="21"/>
                <w:szCs w:val="21"/>
              </w:rPr>
              <w:t>Standardized plans; often more restrictive (e.g., narrower networks).</w:t>
            </w:r>
          </w:p>
        </w:tc>
      </w:tr>
      <w:tr w:rsidR="00087023" w:rsidRPr="00087023" w14:paraId="75399EAF" w14:textId="77777777" w:rsidTr="00762F6E">
        <w:trPr>
          <w:trHeight w:val="1035"/>
        </w:trPr>
        <w:tc>
          <w:tcPr>
            <w:tcW w:w="1620" w:type="dxa"/>
            <w:tcBorders>
              <w:top w:val="nil"/>
              <w:left w:val="nil"/>
              <w:bottom w:val="single" w:sz="6" w:space="0" w:color="DCDFE5"/>
              <w:right w:val="nil"/>
            </w:tcBorders>
            <w:tcMar>
              <w:top w:w="180" w:type="dxa"/>
              <w:left w:w="0" w:type="dxa"/>
              <w:bottom w:w="180" w:type="dxa"/>
              <w:right w:w="240" w:type="dxa"/>
            </w:tcMar>
          </w:tcPr>
          <w:p w14:paraId="17550E6F" w14:textId="77777777" w:rsidR="00087023" w:rsidRPr="00087023" w:rsidRDefault="00087023"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Rate Stability</w:t>
            </w:r>
          </w:p>
        </w:tc>
        <w:tc>
          <w:tcPr>
            <w:tcW w:w="4230" w:type="dxa"/>
            <w:tcBorders>
              <w:top w:val="nil"/>
              <w:left w:val="nil"/>
              <w:bottom w:val="single" w:sz="6" w:space="0" w:color="DCDFE5"/>
              <w:right w:val="nil"/>
            </w:tcBorders>
            <w:tcMar>
              <w:top w:w="180" w:type="dxa"/>
              <w:left w:w="0" w:type="dxa"/>
              <w:bottom w:w="180" w:type="dxa"/>
              <w:right w:w="240" w:type="dxa"/>
            </w:tcMar>
          </w:tcPr>
          <w:p w14:paraId="351786A0" w14:textId="77777777" w:rsidR="00087023" w:rsidRPr="00087023" w:rsidRDefault="00087023"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Lower:</w:t>
            </w:r>
            <w:r w:rsidRPr="00087023">
              <w:rPr>
                <w:rFonts w:ascii="Aptos" w:eastAsia="Roboto" w:hAnsi="Aptos" w:cs="Roboto"/>
                <w:color w:val="0A0A0A"/>
                <w:sz w:val="21"/>
                <w:szCs w:val="21"/>
              </w:rPr>
              <w:t xml:space="preserve"> Costs fluctuate based on district usage and "large claims."</w:t>
            </w:r>
          </w:p>
        </w:tc>
        <w:tc>
          <w:tcPr>
            <w:tcW w:w="4770" w:type="dxa"/>
            <w:tcBorders>
              <w:top w:val="nil"/>
              <w:left w:val="nil"/>
              <w:bottom w:val="single" w:sz="6" w:space="0" w:color="DCDFE5"/>
              <w:right w:val="nil"/>
            </w:tcBorders>
            <w:tcMar>
              <w:top w:w="180" w:type="dxa"/>
              <w:left w:w="0" w:type="dxa"/>
              <w:bottom w:w="180" w:type="dxa"/>
              <w:right w:w="0" w:type="dxa"/>
            </w:tcMar>
          </w:tcPr>
          <w:p w14:paraId="62947AD8" w14:textId="77777777" w:rsidR="00087023" w:rsidRPr="00087023" w:rsidRDefault="00087023"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Higher:</w:t>
            </w:r>
            <w:r w:rsidRPr="00087023">
              <w:rPr>
                <w:rFonts w:ascii="Aptos" w:eastAsia="Roboto" w:hAnsi="Aptos" w:cs="Roboto"/>
                <w:color w:val="0A0A0A"/>
                <w:sz w:val="21"/>
                <w:szCs w:val="21"/>
              </w:rPr>
              <w:t xml:space="preserve"> Rates are more stable because costs are spread across many districts.</w:t>
            </w:r>
          </w:p>
        </w:tc>
      </w:tr>
      <w:tr w:rsidR="00087023" w:rsidRPr="00087023" w14:paraId="3BC5AA58" w14:textId="77777777" w:rsidTr="00762F6E">
        <w:trPr>
          <w:trHeight w:val="1035"/>
        </w:trPr>
        <w:tc>
          <w:tcPr>
            <w:tcW w:w="1620" w:type="dxa"/>
            <w:tcBorders>
              <w:top w:val="nil"/>
              <w:left w:val="nil"/>
              <w:bottom w:val="nil"/>
              <w:right w:val="nil"/>
            </w:tcBorders>
            <w:tcMar>
              <w:top w:w="180" w:type="dxa"/>
              <w:left w:w="0" w:type="dxa"/>
              <w:bottom w:w="180" w:type="dxa"/>
              <w:right w:w="240" w:type="dxa"/>
            </w:tcMar>
          </w:tcPr>
          <w:p w14:paraId="3E89A732" w14:textId="77777777" w:rsidR="00087023" w:rsidRPr="00087023" w:rsidRDefault="00087023"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Sustainability</w:t>
            </w:r>
          </w:p>
        </w:tc>
        <w:tc>
          <w:tcPr>
            <w:tcW w:w="4230" w:type="dxa"/>
            <w:tcBorders>
              <w:top w:val="nil"/>
              <w:left w:val="nil"/>
              <w:bottom w:val="nil"/>
              <w:right w:val="nil"/>
            </w:tcBorders>
            <w:tcMar>
              <w:top w:w="180" w:type="dxa"/>
              <w:left w:w="0" w:type="dxa"/>
              <w:bottom w:w="180" w:type="dxa"/>
              <w:right w:w="240" w:type="dxa"/>
            </w:tcMar>
          </w:tcPr>
          <w:p w14:paraId="41DFFA50" w14:textId="45BC23F5" w:rsidR="00087023" w:rsidRPr="00087023" w:rsidRDefault="00087023" w:rsidP="00D3559A">
            <w:pPr>
              <w:spacing w:line="377" w:lineRule="auto"/>
              <w:rPr>
                <w:rFonts w:ascii="Aptos" w:eastAsia="Roboto" w:hAnsi="Aptos" w:cs="Roboto"/>
                <w:color w:val="0A0A0A"/>
                <w:sz w:val="21"/>
                <w:szCs w:val="21"/>
              </w:rPr>
            </w:pPr>
            <w:r w:rsidRPr="00087023">
              <w:rPr>
                <w:rFonts w:ascii="Aptos" w:eastAsia="Roboto" w:hAnsi="Aptos" w:cs="Roboto"/>
                <w:color w:val="0A0A0A"/>
                <w:sz w:val="21"/>
                <w:szCs w:val="21"/>
              </w:rPr>
              <w:t xml:space="preserve">Requires </w:t>
            </w:r>
            <w:r w:rsidRPr="00087023">
              <w:rPr>
                <w:rFonts w:ascii="Aptos" w:eastAsia="Roboto" w:hAnsi="Aptos" w:cs="Roboto"/>
                <w:b/>
                <w:bCs/>
                <w:color w:val="0A0A0A"/>
                <w:sz w:val="21"/>
                <w:szCs w:val="21"/>
              </w:rPr>
              <w:t>cash infusions</w:t>
            </w:r>
            <w:r w:rsidRPr="00087023">
              <w:rPr>
                <w:rFonts w:ascii="Aptos" w:eastAsia="Roboto" w:hAnsi="Aptos" w:cs="Roboto"/>
                <w:color w:val="0A0A0A"/>
                <w:sz w:val="21"/>
                <w:szCs w:val="21"/>
              </w:rPr>
              <w:t xml:space="preserve"> via higher fringe contributions to keep subsidies alive. </w:t>
            </w:r>
          </w:p>
        </w:tc>
        <w:tc>
          <w:tcPr>
            <w:tcW w:w="4770" w:type="dxa"/>
            <w:tcBorders>
              <w:top w:val="nil"/>
              <w:left w:val="nil"/>
              <w:bottom w:val="nil"/>
              <w:right w:val="nil"/>
            </w:tcBorders>
            <w:tcMar>
              <w:top w:w="180" w:type="dxa"/>
              <w:left w:w="0" w:type="dxa"/>
              <w:bottom w:w="180" w:type="dxa"/>
              <w:right w:w="0" w:type="dxa"/>
            </w:tcMar>
          </w:tcPr>
          <w:p w14:paraId="48929E09" w14:textId="77777777" w:rsidR="00087023" w:rsidRPr="00087023" w:rsidRDefault="00087023" w:rsidP="00D3559A">
            <w:pPr>
              <w:spacing w:line="377" w:lineRule="auto"/>
              <w:rPr>
                <w:rFonts w:ascii="Aptos" w:eastAsia="Roboto" w:hAnsi="Aptos" w:cs="Roboto"/>
                <w:color w:val="0A0A0A"/>
                <w:sz w:val="21"/>
                <w:szCs w:val="21"/>
              </w:rPr>
            </w:pPr>
            <w:r w:rsidRPr="00087023">
              <w:rPr>
                <w:rFonts w:ascii="Aptos" w:eastAsia="Roboto" w:hAnsi="Aptos" w:cs="Roboto"/>
                <w:color w:val="0A0A0A"/>
                <w:sz w:val="21"/>
                <w:szCs w:val="21"/>
              </w:rPr>
              <w:t>Subsidies may "dry up," forcing a move if salary is prioritized over benefits.</w:t>
            </w:r>
          </w:p>
        </w:tc>
      </w:tr>
    </w:tbl>
    <w:p w14:paraId="2924BB1A" w14:textId="77777777" w:rsidR="00087023" w:rsidRPr="00087023" w:rsidRDefault="00000000" w:rsidP="00087023">
      <w:pPr>
        <w:rPr>
          <w:rFonts w:ascii="Aptos" w:hAnsi="Aptos"/>
        </w:rPr>
      </w:pPr>
      <w:r>
        <w:rPr>
          <w:rFonts w:ascii="Aptos" w:hAnsi="Aptos"/>
        </w:rPr>
        <w:pict w14:anchorId="4800BFE0">
          <v:rect id="_x0000_i1025" style="width:0;height:1.5pt" o:hralign="center" o:hrstd="t" o:hr="t" fillcolor="#a0a0a0" stroked="f"/>
        </w:pict>
      </w:r>
    </w:p>
    <w:p w14:paraId="1A3999A1" w14:textId="77777777" w:rsidR="00473548" w:rsidRPr="00087023" w:rsidRDefault="00473548" w:rsidP="00473548">
      <w:pPr>
        <w:rPr>
          <w:rFonts w:ascii="Aptos" w:eastAsia="Times New Roman" w:hAnsi="Aptos" w:cs="Times New Roman"/>
          <w:sz w:val="24"/>
          <w:szCs w:val="24"/>
        </w:rPr>
      </w:pPr>
    </w:p>
    <w:p w14:paraId="55DAF137" w14:textId="661CBF45" w:rsidR="00087023" w:rsidRPr="00087023" w:rsidRDefault="00087023" w:rsidP="00087023">
      <w:pPr>
        <w:shd w:val="clear" w:color="auto" w:fill="FFFFFF"/>
        <w:spacing w:line="335" w:lineRule="auto"/>
        <w:rPr>
          <w:rFonts w:ascii="Aptos" w:eastAsia="Roboto" w:hAnsi="Aptos" w:cs="Roboto"/>
          <w:color w:val="0A0A0A"/>
          <w:sz w:val="24"/>
          <w:szCs w:val="24"/>
        </w:rPr>
      </w:pPr>
      <w:r w:rsidRPr="00087023">
        <w:rPr>
          <w:rFonts w:ascii="Aptos" w:eastAsia="Roboto" w:hAnsi="Aptos" w:cs="Roboto"/>
          <w:color w:val="0A0A0A"/>
          <w:sz w:val="24"/>
          <w:szCs w:val="24"/>
        </w:rPr>
        <w:t>The Bottom Line</w:t>
      </w:r>
      <w:r>
        <w:rPr>
          <w:rFonts w:ascii="Aptos" w:eastAsia="Roboto" w:hAnsi="Aptos" w:cs="Roboto"/>
          <w:color w:val="0A0A0A"/>
          <w:sz w:val="24"/>
          <w:szCs w:val="24"/>
        </w:rPr>
        <w:t xml:space="preserve">:  </w:t>
      </w:r>
      <w:r w:rsidRPr="00087023">
        <w:rPr>
          <w:rFonts w:ascii="Aptos" w:eastAsia="Roboto" w:hAnsi="Aptos" w:cs="Roboto"/>
          <w:color w:val="0A0A0A"/>
          <w:sz w:val="24"/>
          <w:szCs w:val="24"/>
        </w:rPr>
        <w:t xml:space="preserve">To keep the </w:t>
      </w:r>
      <w:r w:rsidRPr="00087023">
        <w:rPr>
          <w:rFonts w:ascii="Aptos" w:eastAsia="Roboto" w:hAnsi="Aptos" w:cs="Roboto"/>
          <w:b/>
          <w:bCs/>
          <w:color w:val="0A0A0A"/>
          <w:sz w:val="24"/>
          <w:szCs w:val="24"/>
        </w:rPr>
        <w:t>Self-Funded</w:t>
      </w:r>
      <w:r w:rsidRPr="00087023">
        <w:rPr>
          <w:rFonts w:ascii="Aptos" w:eastAsia="Roboto" w:hAnsi="Aptos" w:cs="Roboto"/>
          <w:color w:val="0A0A0A"/>
          <w:sz w:val="24"/>
          <w:szCs w:val="24"/>
        </w:rPr>
        <w:t xml:space="preserve"> model working, the district must negotiate</w:t>
      </w:r>
      <w:r>
        <w:rPr>
          <w:rFonts w:ascii="Aptos" w:eastAsia="Roboto" w:hAnsi="Aptos" w:cs="Roboto"/>
          <w:color w:val="0A0A0A"/>
          <w:sz w:val="24"/>
          <w:szCs w:val="24"/>
        </w:rPr>
        <w:t xml:space="preserve"> with employees for</w:t>
      </w:r>
      <w:r w:rsidRPr="00087023">
        <w:rPr>
          <w:rFonts w:ascii="Aptos" w:eastAsia="Roboto" w:hAnsi="Aptos" w:cs="Roboto"/>
          <w:color w:val="0A0A0A"/>
          <w:sz w:val="24"/>
          <w:szCs w:val="24"/>
        </w:rPr>
        <w:t xml:space="preserve"> </w:t>
      </w:r>
      <w:r w:rsidRPr="00087023">
        <w:rPr>
          <w:rFonts w:ascii="Aptos" w:eastAsia="Roboto" w:hAnsi="Aptos" w:cs="Roboto"/>
          <w:b/>
          <w:bCs/>
          <w:color w:val="0A0A0A"/>
          <w:sz w:val="24"/>
          <w:szCs w:val="24"/>
        </w:rPr>
        <w:t>higher fringe contributions</w:t>
      </w:r>
      <w:r w:rsidRPr="00087023">
        <w:rPr>
          <w:rFonts w:ascii="Aptos" w:eastAsia="Roboto" w:hAnsi="Aptos" w:cs="Roboto"/>
          <w:color w:val="0A0A0A"/>
          <w:sz w:val="24"/>
          <w:szCs w:val="24"/>
        </w:rPr>
        <w:t xml:space="preserve">. Without an infusion of cash into the </w:t>
      </w:r>
      <w:r>
        <w:rPr>
          <w:rFonts w:ascii="Aptos" w:eastAsia="Roboto" w:hAnsi="Aptos" w:cs="Roboto"/>
          <w:color w:val="0A0A0A"/>
          <w:sz w:val="24"/>
          <w:szCs w:val="24"/>
        </w:rPr>
        <w:t>system</w:t>
      </w:r>
      <w:r w:rsidRPr="00087023">
        <w:rPr>
          <w:rFonts w:ascii="Aptos" w:eastAsia="Roboto" w:hAnsi="Aptos" w:cs="Roboto"/>
          <w:color w:val="0A0A0A"/>
          <w:sz w:val="24"/>
          <w:szCs w:val="24"/>
        </w:rPr>
        <w:t>, the district will eventually be forced</w:t>
      </w:r>
      <w:r>
        <w:rPr>
          <w:rFonts w:ascii="Aptos" w:eastAsia="Roboto" w:hAnsi="Aptos" w:cs="Roboto"/>
          <w:color w:val="0A0A0A"/>
          <w:sz w:val="24"/>
          <w:szCs w:val="24"/>
        </w:rPr>
        <w:t xml:space="preserve"> to buy</w:t>
      </w:r>
      <w:r w:rsidRPr="00087023">
        <w:rPr>
          <w:rFonts w:ascii="Aptos" w:eastAsia="Roboto" w:hAnsi="Aptos" w:cs="Roboto"/>
          <w:color w:val="0A0A0A"/>
          <w:sz w:val="24"/>
          <w:szCs w:val="24"/>
        </w:rPr>
        <w:t xml:space="preserve"> into a </w:t>
      </w:r>
      <w:r w:rsidRPr="00087023">
        <w:rPr>
          <w:rFonts w:ascii="Aptos" w:eastAsia="Roboto" w:hAnsi="Aptos" w:cs="Roboto"/>
          <w:b/>
          <w:bCs/>
          <w:color w:val="0A0A0A"/>
          <w:sz w:val="24"/>
          <w:szCs w:val="24"/>
        </w:rPr>
        <w:t>Large Pool</w:t>
      </w:r>
      <w:r w:rsidRPr="00087023">
        <w:rPr>
          <w:rFonts w:ascii="Aptos" w:eastAsia="Roboto" w:hAnsi="Aptos" w:cs="Roboto"/>
          <w:color w:val="0A0A0A"/>
          <w:sz w:val="24"/>
          <w:szCs w:val="24"/>
        </w:rPr>
        <w:t>, resulting in a loss of control over future plan designs and rate hikes.</w:t>
      </w:r>
    </w:p>
    <w:p w14:paraId="4BD22B9F" w14:textId="77777777" w:rsidR="00087023" w:rsidRDefault="00087023" w:rsidP="00473548">
      <w:pPr>
        <w:rPr>
          <w:rFonts w:ascii="Aptos" w:eastAsia="Times New Roman" w:hAnsi="Aptos" w:cs="Times New Roman"/>
          <w:sz w:val="24"/>
          <w:szCs w:val="24"/>
        </w:rPr>
      </w:pPr>
    </w:p>
    <w:p w14:paraId="3AC648C6" w14:textId="3FD7DF24" w:rsidR="00EC4B94" w:rsidRPr="00087023" w:rsidRDefault="00473548" w:rsidP="00473548">
      <w:pPr>
        <w:rPr>
          <w:rFonts w:ascii="Aptos" w:eastAsia="Times New Roman" w:hAnsi="Aptos" w:cs="Times New Roman"/>
          <w:sz w:val="24"/>
          <w:szCs w:val="24"/>
        </w:rPr>
      </w:pPr>
      <w:r w:rsidRPr="00087023">
        <w:rPr>
          <w:rFonts w:ascii="Aptos" w:eastAsia="Times New Roman" w:hAnsi="Aptos" w:cs="Times New Roman"/>
          <w:sz w:val="24"/>
          <w:szCs w:val="24"/>
        </w:rPr>
        <w:t xml:space="preserve">Speaking of </w:t>
      </w:r>
      <w:r w:rsidR="00087023">
        <w:rPr>
          <w:rFonts w:ascii="Aptos" w:eastAsia="Times New Roman" w:hAnsi="Aptos" w:cs="Times New Roman"/>
          <w:sz w:val="24"/>
          <w:szCs w:val="24"/>
        </w:rPr>
        <w:t>rate hikes</w:t>
      </w:r>
      <w:r w:rsidRPr="00087023">
        <w:rPr>
          <w:rFonts w:ascii="Aptos" w:eastAsia="Times New Roman" w:hAnsi="Aptos" w:cs="Times New Roman"/>
          <w:sz w:val="24"/>
          <w:szCs w:val="24"/>
        </w:rPr>
        <w:t xml:space="preserve"> for employees, the TUSD EPO premium is currently projected to increase by 16.7%</w:t>
      </w:r>
      <w:r w:rsidR="00EC4B94" w:rsidRPr="00087023">
        <w:rPr>
          <w:rFonts w:ascii="Aptos" w:eastAsia="Times New Roman" w:hAnsi="Aptos" w:cs="Times New Roman"/>
          <w:sz w:val="24"/>
          <w:szCs w:val="24"/>
        </w:rPr>
        <w:t xml:space="preserve"> if utilization holds steady. So, what does that mean?</w:t>
      </w:r>
    </w:p>
    <w:p w14:paraId="078ACEC3" w14:textId="77777777" w:rsidR="00EC4B94" w:rsidRPr="00087023" w:rsidRDefault="00EC4B94" w:rsidP="00473548">
      <w:pPr>
        <w:rPr>
          <w:rFonts w:ascii="Aptos" w:eastAsia="Times New Roman" w:hAnsi="Aptos" w:cs="Times New Roman"/>
          <w:sz w:val="24"/>
          <w:szCs w:val="24"/>
        </w:rPr>
      </w:pPr>
    </w:p>
    <w:p w14:paraId="2490A5AC" w14:textId="51CD7DBA" w:rsidR="00EC4B94" w:rsidRDefault="00EC4B94" w:rsidP="00EC4B94">
      <w:pPr>
        <w:rPr>
          <w:rFonts w:ascii="Aptos" w:eastAsia="Times New Roman" w:hAnsi="Aptos" w:cs="Times New Roman"/>
          <w:sz w:val="24"/>
          <w:szCs w:val="24"/>
        </w:rPr>
      </w:pPr>
      <w:r w:rsidRPr="00087023">
        <w:rPr>
          <w:rFonts w:ascii="Aptos" w:eastAsia="Times New Roman" w:hAnsi="Aptos" w:cs="Times New Roman"/>
          <w:sz w:val="24"/>
          <w:szCs w:val="24"/>
        </w:rPr>
        <w:t>For the current plan year, our EPO plan started with high usage at 114% in October but in January that utilization had dropped to 77%. We are on average right now at 96% usage for our budget. Last year it was 105% at this point.</w:t>
      </w:r>
      <w:r w:rsidR="00232D19" w:rsidRPr="00087023">
        <w:rPr>
          <w:rFonts w:ascii="Aptos" w:eastAsia="Times New Roman" w:hAnsi="Aptos" w:cs="Times New Roman"/>
          <w:sz w:val="24"/>
          <w:szCs w:val="24"/>
        </w:rPr>
        <w:t xml:space="preserve"> Another factor to consider in utilization are the number of large claims, claims that exceed $200,000. TUSD </w:t>
      </w:r>
      <w:r w:rsidRPr="00087023">
        <w:rPr>
          <w:rFonts w:ascii="Aptos" w:eastAsia="Times New Roman" w:hAnsi="Aptos" w:cs="Times New Roman"/>
          <w:sz w:val="24"/>
          <w:szCs w:val="24"/>
        </w:rPr>
        <w:t xml:space="preserve">currently has only two large claims on the books.  </w:t>
      </w:r>
      <w:r w:rsidR="00232D19" w:rsidRPr="00087023">
        <w:rPr>
          <w:rFonts w:ascii="Aptos" w:eastAsia="Times New Roman" w:hAnsi="Aptos" w:cs="Times New Roman"/>
          <w:sz w:val="24"/>
          <w:szCs w:val="24"/>
        </w:rPr>
        <w:t>In 2024-2025, there were 11 large claims (as compared to 6 large claims the prior year). Keep in mind that the current year’s data only includes four months, October through January. When the committee meets again in May, the data should include seven months (October through April). With the current utilization numbers, the EPO is projected to increase another 16.7% for next year, and that number increases or decreases based upon utilization throughout the remainder of the plan year, which ends September 30</w:t>
      </w:r>
      <w:r w:rsidR="00232D19" w:rsidRPr="00087023">
        <w:rPr>
          <w:rFonts w:ascii="Aptos" w:eastAsia="Times New Roman" w:hAnsi="Aptos" w:cs="Times New Roman"/>
          <w:sz w:val="24"/>
          <w:szCs w:val="24"/>
          <w:vertAlign w:val="superscript"/>
        </w:rPr>
        <w:t>th</w:t>
      </w:r>
      <w:r w:rsidR="00232D19" w:rsidRPr="00087023">
        <w:rPr>
          <w:rFonts w:ascii="Aptos" w:eastAsia="Times New Roman" w:hAnsi="Aptos" w:cs="Times New Roman"/>
          <w:sz w:val="24"/>
          <w:szCs w:val="24"/>
        </w:rPr>
        <w:t xml:space="preserve">. </w:t>
      </w:r>
      <w:r w:rsidR="00A06EB5" w:rsidRPr="00087023">
        <w:rPr>
          <w:rFonts w:ascii="Aptos" w:eastAsia="Times New Roman" w:hAnsi="Aptos" w:cs="Times New Roman"/>
          <w:sz w:val="24"/>
          <w:szCs w:val="24"/>
        </w:rPr>
        <w:t xml:space="preserve"> If these rates hold, this is what premiums for next year will look like:</w:t>
      </w:r>
    </w:p>
    <w:p w14:paraId="4CA67D8A" w14:textId="77777777" w:rsidR="00197DBE" w:rsidRDefault="00197DBE" w:rsidP="00EC4B94">
      <w:pPr>
        <w:rPr>
          <w:rFonts w:ascii="Aptos" w:eastAsia="Times New Roman" w:hAnsi="Aptos" w:cs="Times New Roman"/>
          <w:sz w:val="24"/>
          <w:szCs w:val="24"/>
        </w:rPr>
      </w:pPr>
    </w:p>
    <w:p w14:paraId="6E9F6FA9" w14:textId="6158E4B6" w:rsidR="00A06EB5" w:rsidRPr="00087023" w:rsidRDefault="00A06EB5" w:rsidP="00A06EB5">
      <w:pPr>
        <w:shd w:val="clear" w:color="auto" w:fill="FFFFFF"/>
        <w:spacing w:line="335" w:lineRule="auto"/>
        <w:rPr>
          <w:rFonts w:ascii="Aptos" w:eastAsia="Roboto" w:hAnsi="Aptos" w:cs="Roboto"/>
          <w:color w:val="0A0A0A"/>
          <w:sz w:val="30"/>
          <w:szCs w:val="30"/>
        </w:rPr>
      </w:pPr>
      <w:r w:rsidRPr="00087023">
        <w:rPr>
          <w:rFonts w:ascii="Aptos" w:eastAsia="Roboto" w:hAnsi="Aptos" w:cs="Roboto"/>
          <w:color w:val="0A0A0A"/>
          <w:sz w:val="30"/>
          <w:szCs w:val="30"/>
        </w:rPr>
        <w:lastRenderedPageBreak/>
        <w:t>TUSD Medical Rate Comparison</w:t>
      </w:r>
    </w:p>
    <w:p w14:paraId="758B9630" w14:textId="77777777" w:rsidR="00A06EB5" w:rsidRPr="00087023" w:rsidRDefault="00A06EB5" w:rsidP="00A06EB5">
      <w:pPr>
        <w:shd w:val="clear" w:color="auto" w:fill="FFFFFF"/>
        <w:spacing w:line="360" w:lineRule="auto"/>
        <w:rPr>
          <w:rFonts w:ascii="Aptos" w:eastAsia="Roboto" w:hAnsi="Aptos" w:cs="Roboto"/>
          <w:i/>
          <w:iCs/>
          <w:color w:val="0A0A0A"/>
          <w:sz w:val="24"/>
          <w:szCs w:val="24"/>
        </w:rPr>
      </w:pPr>
      <w:r w:rsidRPr="00087023">
        <w:rPr>
          <w:rFonts w:ascii="Aptos" w:eastAsia="Roboto" w:hAnsi="Aptos" w:cs="Roboto"/>
          <w:i/>
          <w:iCs/>
          <w:color w:val="0A0A0A"/>
          <w:sz w:val="24"/>
          <w:szCs w:val="24"/>
        </w:rPr>
        <w:t>Estimated Monthly Rates (Tenthly)</w:t>
      </w:r>
    </w:p>
    <w:tbl>
      <w:tblPr>
        <w:tblStyle w:val="a0"/>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52"/>
        <w:gridCol w:w="2718"/>
        <w:gridCol w:w="2700"/>
        <w:gridCol w:w="3330"/>
      </w:tblGrid>
      <w:tr w:rsidR="00A06EB5" w:rsidRPr="00087023" w14:paraId="604FBDFE" w14:textId="77777777" w:rsidTr="00A06EB5">
        <w:trPr>
          <w:trHeight w:val="915"/>
        </w:trPr>
        <w:tc>
          <w:tcPr>
            <w:tcW w:w="2052" w:type="dxa"/>
            <w:tcBorders>
              <w:top w:val="nil"/>
              <w:left w:val="nil"/>
              <w:bottom w:val="single" w:sz="6" w:space="0" w:color="DCDFE5"/>
              <w:right w:val="nil"/>
            </w:tcBorders>
            <w:tcMar>
              <w:top w:w="120" w:type="dxa"/>
              <w:left w:w="0" w:type="dxa"/>
              <w:bottom w:w="120" w:type="dxa"/>
              <w:right w:w="240" w:type="dxa"/>
            </w:tcMar>
          </w:tcPr>
          <w:p w14:paraId="070DA0A8" w14:textId="77777777"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Coverage Tier</w:t>
            </w:r>
          </w:p>
        </w:tc>
        <w:tc>
          <w:tcPr>
            <w:tcW w:w="2718" w:type="dxa"/>
            <w:tcBorders>
              <w:top w:val="nil"/>
              <w:left w:val="nil"/>
              <w:bottom w:val="single" w:sz="6" w:space="0" w:color="DCDFE5"/>
              <w:right w:val="nil"/>
            </w:tcBorders>
            <w:tcMar>
              <w:top w:w="120" w:type="dxa"/>
              <w:left w:w="0" w:type="dxa"/>
              <w:bottom w:w="120" w:type="dxa"/>
              <w:right w:w="240" w:type="dxa"/>
            </w:tcMar>
          </w:tcPr>
          <w:p w14:paraId="168E5F8D" w14:textId="77777777" w:rsidR="00A06EB5" w:rsidRPr="00087023" w:rsidRDefault="00A06EB5" w:rsidP="00D3559A">
            <w:pPr>
              <w:spacing w:line="377" w:lineRule="auto"/>
              <w:rPr>
                <w:rFonts w:ascii="Aptos" w:eastAsia="Roboto" w:hAnsi="Aptos" w:cs="Roboto"/>
                <w:b/>
                <w:bCs/>
                <w:color w:val="0A0A0A"/>
                <w:sz w:val="21"/>
                <w:szCs w:val="21"/>
              </w:rPr>
            </w:pPr>
            <w:r w:rsidRPr="00087023">
              <w:rPr>
                <w:rFonts w:ascii="Aptos" w:eastAsia="Roboto" w:hAnsi="Aptos" w:cs="Roboto"/>
                <w:b/>
                <w:bCs/>
                <w:color w:val="0A0A0A"/>
                <w:sz w:val="21"/>
                <w:szCs w:val="21"/>
              </w:rPr>
              <w:t xml:space="preserve">2025-26 Rate </w:t>
            </w:r>
          </w:p>
          <w:p w14:paraId="30D91231" w14:textId="3363CBCE"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(With Subsidy)</w:t>
            </w:r>
          </w:p>
        </w:tc>
        <w:tc>
          <w:tcPr>
            <w:tcW w:w="2700" w:type="dxa"/>
            <w:tcBorders>
              <w:top w:val="nil"/>
              <w:left w:val="nil"/>
              <w:bottom w:val="single" w:sz="6" w:space="0" w:color="DCDFE5"/>
              <w:right w:val="nil"/>
            </w:tcBorders>
            <w:tcMar>
              <w:top w:w="120" w:type="dxa"/>
              <w:left w:w="0" w:type="dxa"/>
              <w:bottom w:w="120" w:type="dxa"/>
              <w:right w:w="240" w:type="dxa"/>
            </w:tcMar>
          </w:tcPr>
          <w:p w14:paraId="129BAE61" w14:textId="4E4D6598"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2025-26 Actual Rate (Unsubsidized)</w:t>
            </w:r>
          </w:p>
        </w:tc>
        <w:tc>
          <w:tcPr>
            <w:tcW w:w="3330" w:type="dxa"/>
            <w:tcBorders>
              <w:top w:val="nil"/>
              <w:left w:val="nil"/>
              <w:bottom w:val="single" w:sz="6" w:space="0" w:color="DCDFE5"/>
              <w:right w:val="nil"/>
            </w:tcBorders>
            <w:tcMar>
              <w:top w:w="120" w:type="dxa"/>
              <w:left w:w="0" w:type="dxa"/>
              <w:bottom w:w="120" w:type="dxa"/>
              <w:right w:w="0" w:type="dxa"/>
            </w:tcMar>
          </w:tcPr>
          <w:p w14:paraId="797D8B23" w14:textId="5415952B"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2026-27 Projected Rate (+16.7%) (Unsubsidized)</w:t>
            </w:r>
          </w:p>
        </w:tc>
      </w:tr>
      <w:tr w:rsidR="00A06EB5" w:rsidRPr="00087023" w14:paraId="7C54723F" w14:textId="77777777" w:rsidTr="00A06EB5">
        <w:trPr>
          <w:trHeight w:val="705"/>
        </w:trPr>
        <w:tc>
          <w:tcPr>
            <w:tcW w:w="2052" w:type="dxa"/>
            <w:tcBorders>
              <w:top w:val="nil"/>
              <w:left w:val="nil"/>
              <w:bottom w:val="single" w:sz="6" w:space="0" w:color="DCDFE5"/>
              <w:right w:val="nil"/>
            </w:tcBorders>
            <w:tcMar>
              <w:top w:w="180" w:type="dxa"/>
              <w:left w:w="0" w:type="dxa"/>
              <w:bottom w:w="180" w:type="dxa"/>
              <w:right w:w="240" w:type="dxa"/>
            </w:tcMar>
          </w:tcPr>
          <w:p w14:paraId="6E3891E9" w14:textId="77777777"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Employee Only</w:t>
            </w:r>
          </w:p>
        </w:tc>
        <w:tc>
          <w:tcPr>
            <w:tcW w:w="2718" w:type="dxa"/>
            <w:tcBorders>
              <w:top w:val="nil"/>
              <w:left w:val="nil"/>
              <w:bottom w:val="single" w:sz="6" w:space="0" w:color="DCDFE5"/>
              <w:right w:val="nil"/>
            </w:tcBorders>
            <w:tcMar>
              <w:top w:w="180" w:type="dxa"/>
              <w:left w:w="0" w:type="dxa"/>
              <w:bottom w:w="180" w:type="dxa"/>
              <w:right w:w="240" w:type="dxa"/>
            </w:tcMar>
          </w:tcPr>
          <w:p w14:paraId="0B429348" w14:textId="77777777"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color w:val="0A0A0A"/>
                <w:sz w:val="21"/>
                <w:szCs w:val="21"/>
              </w:rPr>
              <w:t>$1,151.77</w:t>
            </w:r>
          </w:p>
        </w:tc>
        <w:tc>
          <w:tcPr>
            <w:tcW w:w="2700" w:type="dxa"/>
            <w:tcBorders>
              <w:top w:val="nil"/>
              <w:left w:val="nil"/>
              <w:bottom w:val="single" w:sz="6" w:space="0" w:color="DCDFE5"/>
              <w:right w:val="nil"/>
            </w:tcBorders>
            <w:tcMar>
              <w:top w:w="180" w:type="dxa"/>
              <w:left w:w="0" w:type="dxa"/>
              <w:bottom w:w="180" w:type="dxa"/>
              <w:right w:w="240" w:type="dxa"/>
            </w:tcMar>
          </w:tcPr>
          <w:p w14:paraId="1418D98C" w14:textId="77777777"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color w:val="0A0A0A"/>
                <w:sz w:val="21"/>
                <w:szCs w:val="21"/>
              </w:rPr>
              <w:t>$1,318.12</w:t>
            </w:r>
          </w:p>
        </w:tc>
        <w:tc>
          <w:tcPr>
            <w:tcW w:w="3330" w:type="dxa"/>
            <w:tcBorders>
              <w:top w:val="nil"/>
              <w:left w:val="nil"/>
              <w:bottom w:val="single" w:sz="6" w:space="0" w:color="DCDFE5"/>
              <w:right w:val="nil"/>
            </w:tcBorders>
            <w:tcMar>
              <w:top w:w="180" w:type="dxa"/>
              <w:left w:w="0" w:type="dxa"/>
              <w:bottom w:w="180" w:type="dxa"/>
              <w:right w:w="0" w:type="dxa"/>
            </w:tcMar>
          </w:tcPr>
          <w:p w14:paraId="185E7FAB" w14:textId="77777777"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$1,538.25</w:t>
            </w:r>
          </w:p>
        </w:tc>
      </w:tr>
      <w:tr w:rsidR="00A06EB5" w:rsidRPr="00087023" w14:paraId="0C78F427" w14:textId="77777777" w:rsidTr="00A06EB5">
        <w:trPr>
          <w:trHeight w:val="1035"/>
        </w:trPr>
        <w:tc>
          <w:tcPr>
            <w:tcW w:w="2052" w:type="dxa"/>
            <w:tcBorders>
              <w:top w:val="nil"/>
              <w:left w:val="nil"/>
              <w:bottom w:val="single" w:sz="6" w:space="0" w:color="DCDFE5"/>
              <w:right w:val="nil"/>
            </w:tcBorders>
            <w:tcMar>
              <w:top w:w="180" w:type="dxa"/>
              <w:left w:w="0" w:type="dxa"/>
              <w:bottom w:w="180" w:type="dxa"/>
              <w:right w:w="240" w:type="dxa"/>
            </w:tcMar>
          </w:tcPr>
          <w:p w14:paraId="4EAFE4C1" w14:textId="77777777"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Employee + Spouse</w:t>
            </w:r>
          </w:p>
        </w:tc>
        <w:tc>
          <w:tcPr>
            <w:tcW w:w="2718" w:type="dxa"/>
            <w:tcBorders>
              <w:top w:val="nil"/>
              <w:left w:val="nil"/>
              <w:bottom w:val="single" w:sz="6" w:space="0" w:color="DCDFE5"/>
              <w:right w:val="nil"/>
            </w:tcBorders>
            <w:tcMar>
              <w:top w:w="180" w:type="dxa"/>
              <w:left w:w="0" w:type="dxa"/>
              <w:bottom w:w="180" w:type="dxa"/>
              <w:right w:w="240" w:type="dxa"/>
            </w:tcMar>
          </w:tcPr>
          <w:p w14:paraId="4CE7A258" w14:textId="77777777"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color w:val="0A0A0A"/>
                <w:sz w:val="21"/>
                <w:szCs w:val="21"/>
              </w:rPr>
              <w:t>$2,303.56</w:t>
            </w:r>
          </w:p>
        </w:tc>
        <w:tc>
          <w:tcPr>
            <w:tcW w:w="2700" w:type="dxa"/>
            <w:tcBorders>
              <w:top w:val="nil"/>
              <w:left w:val="nil"/>
              <w:bottom w:val="single" w:sz="6" w:space="0" w:color="DCDFE5"/>
              <w:right w:val="nil"/>
            </w:tcBorders>
            <w:tcMar>
              <w:top w:w="180" w:type="dxa"/>
              <w:left w:w="0" w:type="dxa"/>
              <w:bottom w:w="180" w:type="dxa"/>
              <w:right w:w="240" w:type="dxa"/>
            </w:tcMar>
          </w:tcPr>
          <w:p w14:paraId="6D4BE8D3" w14:textId="77777777"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color w:val="0A0A0A"/>
                <w:sz w:val="21"/>
                <w:szCs w:val="21"/>
              </w:rPr>
              <w:t>$2,636.26</w:t>
            </w:r>
          </w:p>
        </w:tc>
        <w:tc>
          <w:tcPr>
            <w:tcW w:w="3330" w:type="dxa"/>
            <w:tcBorders>
              <w:top w:val="nil"/>
              <w:left w:val="nil"/>
              <w:bottom w:val="single" w:sz="6" w:space="0" w:color="DCDFE5"/>
              <w:right w:val="nil"/>
            </w:tcBorders>
            <w:tcMar>
              <w:top w:w="180" w:type="dxa"/>
              <w:left w:w="0" w:type="dxa"/>
              <w:bottom w:w="180" w:type="dxa"/>
              <w:right w:w="0" w:type="dxa"/>
            </w:tcMar>
          </w:tcPr>
          <w:p w14:paraId="142FE536" w14:textId="77777777"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$3,076.52</w:t>
            </w:r>
          </w:p>
        </w:tc>
      </w:tr>
      <w:tr w:rsidR="00A06EB5" w:rsidRPr="00087023" w14:paraId="38774324" w14:textId="77777777" w:rsidTr="00A06EB5">
        <w:trPr>
          <w:trHeight w:val="1035"/>
        </w:trPr>
        <w:tc>
          <w:tcPr>
            <w:tcW w:w="2052" w:type="dxa"/>
            <w:tcBorders>
              <w:top w:val="nil"/>
              <w:left w:val="nil"/>
              <w:bottom w:val="single" w:sz="6" w:space="0" w:color="DCDFE5"/>
              <w:right w:val="nil"/>
            </w:tcBorders>
            <w:tcMar>
              <w:top w:w="180" w:type="dxa"/>
              <w:left w:w="0" w:type="dxa"/>
              <w:bottom w:w="180" w:type="dxa"/>
              <w:right w:w="240" w:type="dxa"/>
            </w:tcMar>
          </w:tcPr>
          <w:p w14:paraId="173B441A" w14:textId="77777777"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Employee + Children</w:t>
            </w:r>
          </w:p>
        </w:tc>
        <w:tc>
          <w:tcPr>
            <w:tcW w:w="2718" w:type="dxa"/>
            <w:tcBorders>
              <w:top w:val="nil"/>
              <w:left w:val="nil"/>
              <w:bottom w:val="single" w:sz="6" w:space="0" w:color="DCDFE5"/>
              <w:right w:val="nil"/>
            </w:tcBorders>
            <w:tcMar>
              <w:top w:w="180" w:type="dxa"/>
              <w:left w:w="0" w:type="dxa"/>
              <w:bottom w:w="180" w:type="dxa"/>
              <w:right w:w="240" w:type="dxa"/>
            </w:tcMar>
          </w:tcPr>
          <w:p w14:paraId="57B05B4E" w14:textId="77777777"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color w:val="0A0A0A"/>
                <w:sz w:val="21"/>
                <w:szCs w:val="21"/>
              </w:rPr>
              <w:t>$2,189.30</w:t>
            </w:r>
          </w:p>
        </w:tc>
        <w:tc>
          <w:tcPr>
            <w:tcW w:w="2700" w:type="dxa"/>
            <w:tcBorders>
              <w:top w:val="nil"/>
              <w:left w:val="nil"/>
              <w:bottom w:val="single" w:sz="6" w:space="0" w:color="DCDFE5"/>
              <w:right w:val="nil"/>
            </w:tcBorders>
            <w:tcMar>
              <w:top w:w="180" w:type="dxa"/>
              <w:left w:w="0" w:type="dxa"/>
              <w:bottom w:w="180" w:type="dxa"/>
              <w:right w:w="240" w:type="dxa"/>
            </w:tcMar>
          </w:tcPr>
          <w:p w14:paraId="23ABB294" w14:textId="77777777"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color w:val="0A0A0A"/>
                <w:sz w:val="21"/>
                <w:szCs w:val="21"/>
              </w:rPr>
              <w:t>$2,505.82</w:t>
            </w:r>
          </w:p>
        </w:tc>
        <w:tc>
          <w:tcPr>
            <w:tcW w:w="3330" w:type="dxa"/>
            <w:tcBorders>
              <w:top w:val="nil"/>
              <w:left w:val="nil"/>
              <w:bottom w:val="single" w:sz="6" w:space="0" w:color="DCDFE5"/>
              <w:right w:val="nil"/>
            </w:tcBorders>
            <w:tcMar>
              <w:top w:w="180" w:type="dxa"/>
              <w:left w:w="0" w:type="dxa"/>
              <w:bottom w:w="180" w:type="dxa"/>
              <w:right w:w="0" w:type="dxa"/>
            </w:tcMar>
          </w:tcPr>
          <w:p w14:paraId="0CEE992E" w14:textId="77777777"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$2,924.29</w:t>
            </w:r>
          </w:p>
        </w:tc>
      </w:tr>
      <w:tr w:rsidR="00A06EB5" w:rsidRPr="00087023" w14:paraId="6C8A9E07" w14:textId="77777777" w:rsidTr="00A06EB5">
        <w:trPr>
          <w:trHeight w:val="705"/>
        </w:trPr>
        <w:tc>
          <w:tcPr>
            <w:tcW w:w="2052" w:type="dxa"/>
            <w:tcBorders>
              <w:top w:val="nil"/>
              <w:left w:val="nil"/>
              <w:bottom w:val="nil"/>
              <w:right w:val="nil"/>
            </w:tcBorders>
            <w:tcMar>
              <w:top w:w="180" w:type="dxa"/>
              <w:left w:w="0" w:type="dxa"/>
              <w:bottom w:w="180" w:type="dxa"/>
              <w:right w:w="240" w:type="dxa"/>
            </w:tcMar>
          </w:tcPr>
          <w:p w14:paraId="52579637" w14:textId="77777777"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Employee + Family</w:t>
            </w:r>
          </w:p>
        </w:tc>
        <w:tc>
          <w:tcPr>
            <w:tcW w:w="2718" w:type="dxa"/>
            <w:tcBorders>
              <w:top w:val="nil"/>
              <w:left w:val="nil"/>
              <w:bottom w:val="nil"/>
              <w:right w:val="nil"/>
            </w:tcBorders>
            <w:tcMar>
              <w:top w:w="180" w:type="dxa"/>
              <w:left w:w="0" w:type="dxa"/>
              <w:bottom w:w="180" w:type="dxa"/>
              <w:right w:w="240" w:type="dxa"/>
            </w:tcMar>
          </w:tcPr>
          <w:p w14:paraId="052AA988" w14:textId="77777777"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color w:val="0A0A0A"/>
                <w:sz w:val="21"/>
                <w:szCs w:val="21"/>
              </w:rPr>
              <w:t>$3,454.13</w:t>
            </w:r>
          </w:p>
        </w:tc>
        <w:tc>
          <w:tcPr>
            <w:tcW w:w="2700" w:type="dxa"/>
            <w:tcBorders>
              <w:top w:val="nil"/>
              <w:left w:val="nil"/>
              <w:bottom w:val="nil"/>
              <w:right w:val="nil"/>
            </w:tcBorders>
            <w:tcMar>
              <w:top w:w="180" w:type="dxa"/>
              <w:left w:w="0" w:type="dxa"/>
              <w:bottom w:w="180" w:type="dxa"/>
              <w:right w:w="240" w:type="dxa"/>
            </w:tcMar>
          </w:tcPr>
          <w:p w14:paraId="50B668F3" w14:textId="77777777"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color w:val="0A0A0A"/>
                <w:sz w:val="21"/>
                <w:szCs w:val="21"/>
              </w:rPr>
              <w:t>$3,953.21</w:t>
            </w:r>
          </w:p>
        </w:tc>
        <w:tc>
          <w:tcPr>
            <w:tcW w:w="3330" w:type="dxa"/>
            <w:tcBorders>
              <w:top w:val="nil"/>
              <w:left w:val="nil"/>
              <w:bottom w:val="nil"/>
              <w:right w:val="nil"/>
            </w:tcBorders>
            <w:tcMar>
              <w:top w:w="180" w:type="dxa"/>
              <w:left w:w="0" w:type="dxa"/>
              <w:bottom w:w="180" w:type="dxa"/>
              <w:right w:w="0" w:type="dxa"/>
            </w:tcMar>
          </w:tcPr>
          <w:p w14:paraId="00E50201" w14:textId="77777777" w:rsidR="00A06EB5" w:rsidRPr="00087023" w:rsidRDefault="00A06EB5" w:rsidP="00D3559A">
            <w:pPr>
              <w:spacing w:line="377" w:lineRule="auto"/>
              <w:rPr>
                <w:rFonts w:ascii="Aptos" w:eastAsia="Roboto" w:hAnsi="Aptos" w:cs="Roboto"/>
                <w:color w:val="0A0A0A"/>
                <w:sz w:val="21"/>
                <w:szCs w:val="21"/>
              </w:rPr>
            </w:pPr>
            <w:r w:rsidRPr="00087023">
              <w:rPr>
                <w:rFonts w:ascii="Aptos" w:eastAsia="Roboto" w:hAnsi="Aptos" w:cs="Roboto"/>
                <w:b/>
                <w:bCs/>
                <w:color w:val="0A0A0A"/>
                <w:sz w:val="21"/>
                <w:szCs w:val="21"/>
              </w:rPr>
              <w:t>$4,613.40</w:t>
            </w:r>
          </w:p>
        </w:tc>
      </w:tr>
    </w:tbl>
    <w:p w14:paraId="1CDD5F31" w14:textId="77777777" w:rsidR="00A06EB5" w:rsidRPr="00087023" w:rsidRDefault="00000000" w:rsidP="00A06EB5">
      <w:pPr>
        <w:rPr>
          <w:rFonts w:ascii="Aptos" w:hAnsi="Aptos"/>
        </w:rPr>
      </w:pPr>
      <w:r>
        <w:rPr>
          <w:rFonts w:ascii="Aptos" w:hAnsi="Aptos"/>
        </w:rPr>
        <w:pict w14:anchorId="020E0340">
          <v:rect id="_x0000_i1026" style="width:0;height:1.5pt" o:hralign="center" o:hrstd="t" o:hr="t" fillcolor="#a0a0a0" stroked="f"/>
        </w:pict>
      </w:r>
    </w:p>
    <w:p w14:paraId="35BBDEC1" w14:textId="5C308230" w:rsidR="00473548" w:rsidRPr="00087023" w:rsidRDefault="00473548" w:rsidP="00473548">
      <w:pPr>
        <w:rPr>
          <w:rFonts w:ascii="Aptos" w:eastAsia="Times New Roman" w:hAnsi="Aptos" w:cs="Times New Roman"/>
          <w:sz w:val="24"/>
          <w:szCs w:val="24"/>
        </w:rPr>
      </w:pPr>
    </w:p>
    <w:p w14:paraId="2825B560" w14:textId="51B46513" w:rsidR="00D716BD" w:rsidRDefault="00D716BD" w:rsidP="00D716BD">
      <w:pPr>
        <w:rPr>
          <w:rFonts w:ascii="Aptos" w:eastAsia="Times New Roman" w:hAnsi="Aptos" w:cs="Times New Roman"/>
          <w:sz w:val="24"/>
          <w:szCs w:val="24"/>
        </w:rPr>
      </w:pPr>
      <w:r w:rsidRPr="00D716BD">
        <w:rPr>
          <w:rFonts w:ascii="Aptos" w:eastAsia="Times New Roman" w:hAnsi="Aptos" w:cs="Times New Roman"/>
          <w:sz w:val="24"/>
          <w:szCs w:val="24"/>
        </w:rPr>
        <w:t xml:space="preserve">The above numbers are projections IF our plan holds steady with utilization.  </w:t>
      </w:r>
      <w:r>
        <w:rPr>
          <w:rFonts w:ascii="Aptos" w:eastAsia="Times New Roman" w:hAnsi="Aptos" w:cs="Times New Roman"/>
          <w:sz w:val="24"/>
          <w:szCs w:val="24"/>
        </w:rPr>
        <w:t>While the plan is c</w:t>
      </w:r>
      <w:r w:rsidRPr="00D716BD">
        <w:rPr>
          <w:rFonts w:ascii="Aptos" w:eastAsia="Times New Roman" w:hAnsi="Aptos" w:cs="Times New Roman"/>
          <w:sz w:val="24"/>
          <w:szCs w:val="24"/>
        </w:rPr>
        <w:t>urrently running at 96.7%</w:t>
      </w:r>
      <w:r>
        <w:rPr>
          <w:rFonts w:ascii="Aptos" w:eastAsia="Times New Roman" w:hAnsi="Aptos" w:cs="Times New Roman"/>
          <w:sz w:val="24"/>
          <w:szCs w:val="24"/>
        </w:rPr>
        <w:t xml:space="preserve">, the </w:t>
      </w:r>
      <w:r w:rsidRPr="00D716BD">
        <w:rPr>
          <w:rFonts w:ascii="Aptos" w:eastAsia="Times New Roman" w:hAnsi="Aptos" w:cs="Times New Roman"/>
          <w:sz w:val="24"/>
          <w:szCs w:val="24"/>
        </w:rPr>
        <w:t>estimate over a 12 month period is 114.5%</w:t>
      </w:r>
      <w:r>
        <w:rPr>
          <w:rFonts w:ascii="Aptos" w:eastAsia="Times New Roman" w:hAnsi="Aptos" w:cs="Times New Roman"/>
          <w:sz w:val="24"/>
          <w:szCs w:val="24"/>
        </w:rPr>
        <w:t xml:space="preserve"> of budget.</w:t>
      </w:r>
      <w:r w:rsidRPr="00D716BD">
        <w:rPr>
          <w:rFonts w:ascii="Aptos" w:eastAsia="Times New Roman" w:hAnsi="Aptos" w:cs="Times New Roman"/>
          <w:sz w:val="24"/>
          <w:szCs w:val="24"/>
        </w:rPr>
        <w:t xml:space="preserve">  An increase is imminent to at least the above figure</w:t>
      </w:r>
      <w:r>
        <w:rPr>
          <w:rFonts w:ascii="Aptos" w:eastAsia="Times New Roman" w:hAnsi="Aptos" w:cs="Times New Roman"/>
          <w:sz w:val="24"/>
          <w:szCs w:val="24"/>
        </w:rPr>
        <w:t xml:space="preserve">, and it could be more. </w:t>
      </w:r>
      <w:r w:rsidRPr="00D716BD">
        <w:rPr>
          <w:rFonts w:ascii="Aptos" w:eastAsia="Times New Roman" w:hAnsi="Aptos" w:cs="Times New Roman"/>
          <w:sz w:val="24"/>
          <w:szCs w:val="24"/>
        </w:rPr>
        <w:t>Current Kaiser plans are projecting a 7.6% increase.  This could still change due to</w:t>
      </w:r>
      <w:r>
        <w:rPr>
          <w:rFonts w:ascii="Aptos" w:eastAsia="Times New Roman" w:hAnsi="Aptos" w:cs="Times New Roman"/>
          <w:sz w:val="24"/>
          <w:szCs w:val="24"/>
        </w:rPr>
        <w:t xml:space="preserve"> Kaiser worker</w:t>
      </w:r>
      <w:r w:rsidRPr="00D716BD">
        <w:rPr>
          <w:rFonts w:ascii="Aptos" w:eastAsia="Times New Roman" w:hAnsi="Aptos" w:cs="Times New Roman"/>
          <w:sz w:val="24"/>
          <w:szCs w:val="24"/>
        </w:rPr>
        <w:t xml:space="preserve"> strikes</w:t>
      </w:r>
      <w:r>
        <w:rPr>
          <w:rFonts w:ascii="Aptos" w:eastAsia="Times New Roman" w:hAnsi="Aptos" w:cs="Times New Roman"/>
          <w:sz w:val="24"/>
          <w:szCs w:val="24"/>
        </w:rPr>
        <w:t>.</w:t>
      </w:r>
    </w:p>
    <w:p w14:paraId="74E79CE8" w14:textId="77777777" w:rsidR="00D716BD" w:rsidRDefault="00D716BD" w:rsidP="00D716BD">
      <w:pPr>
        <w:rPr>
          <w:rFonts w:ascii="Aptos" w:eastAsia="Times New Roman" w:hAnsi="Aptos" w:cs="Times New Roman"/>
          <w:sz w:val="24"/>
          <w:szCs w:val="24"/>
        </w:rPr>
      </w:pPr>
    </w:p>
    <w:p w14:paraId="00ECF90C" w14:textId="77777777" w:rsidR="004412F5" w:rsidRDefault="00D716BD" w:rsidP="00D716BD">
      <w:pPr>
        <w:rPr>
          <w:rFonts w:ascii="Aptos" w:eastAsia="Times New Roman" w:hAnsi="Aptos" w:cs="Times New Roman"/>
          <w:sz w:val="24"/>
          <w:szCs w:val="24"/>
        </w:rPr>
      </w:pPr>
      <w:r>
        <w:rPr>
          <w:rFonts w:ascii="Aptos" w:eastAsia="Times New Roman" w:hAnsi="Aptos" w:cs="Times New Roman"/>
          <w:sz w:val="24"/>
          <w:szCs w:val="24"/>
        </w:rPr>
        <w:t xml:space="preserve">Overall, the health care picture is bleak throughout the country. </w:t>
      </w:r>
      <w:r w:rsidR="004412F5">
        <w:rPr>
          <w:rFonts w:ascii="Aptos" w:eastAsia="Times New Roman" w:hAnsi="Aptos" w:cs="Times New Roman"/>
          <w:sz w:val="24"/>
          <w:szCs w:val="24"/>
        </w:rPr>
        <w:t>All s</w:t>
      </w:r>
      <w:r>
        <w:rPr>
          <w:rFonts w:ascii="Aptos" w:eastAsia="Times New Roman" w:hAnsi="Aptos" w:cs="Times New Roman"/>
          <w:sz w:val="24"/>
          <w:szCs w:val="24"/>
        </w:rPr>
        <w:t>chool</w:t>
      </w:r>
      <w:r w:rsidRPr="00D716BD">
        <w:rPr>
          <w:rFonts w:ascii="Aptos" w:eastAsia="Times New Roman" w:hAnsi="Aptos" w:cs="Times New Roman"/>
          <w:sz w:val="24"/>
          <w:szCs w:val="24"/>
        </w:rPr>
        <w:t xml:space="preserve"> districts</w:t>
      </w:r>
      <w:r>
        <w:rPr>
          <w:rFonts w:ascii="Aptos" w:eastAsia="Times New Roman" w:hAnsi="Aptos" w:cs="Times New Roman"/>
          <w:sz w:val="24"/>
          <w:szCs w:val="24"/>
        </w:rPr>
        <w:t xml:space="preserve">, </w:t>
      </w:r>
      <w:r w:rsidR="004412F5">
        <w:rPr>
          <w:rFonts w:ascii="Aptos" w:eastAsia="Times New Roman" w:hAnsi="Aptos" w:cs="Times New Roman"/>
          <w:sz w:val="24"/>
          <w:szCs w:val="24"/>
        </w:rPr>
        <w:t>as well as</w:t>
      </w:r>
      <w:r>
        <w:rPr>
          <w:rFonts w:ascii="Aptos" w:eastAsia="Times New Roman" w:hAnsi="Aptos" w:cs="Times New Roman"/>
          <w:sz w:val="24"/>
          <w:szCs w:val="24"/>
        </w:rPr>
        <w:t xml:space="preserve"> all employment </w:t>
      </w:r>
      <w:r w:rsidRPr="00D716BD">
        <w:rPr>
          <w:rFonts w:ascii="Aptos" w:eastAsia="Times New Roman" w:hAnsi="Aptos" w:cs="Times New Roman"/>
          <w:sz w:val="24"/>
          <w:szCs w:val="24"/>
        </w:rPr>
        <w:t>fields</w:t>
      </w:r>
      <w:r>
        <w:rPr>
          <w:rFonts w:ascii="Aptos" w:eastAsia="Times New Roman" w:hAnsi="Aptos" w:cs="Times New Roman"/>
          <w:sz w:val="24"/>
          <w:szCs w:val="24"/>
        </w:rPr>
        <w:t>,</w:t>
      </w:r>
      <w:r w:rsidRPr="00D716BD">
        <w:rPr>
          <w:rFonts w:ascii="Aptos" w:eastAsia="Times New Roman" w:hAnsi="Aptos" w:cs="Times New Roman"/>
          <w:sz w:val="24"/>
          <w:szCs w:val="24"/>
        </w:rPr>
        <w:t xml:space="preserve"> are dealing with increases in healthcare coverage</w:t>
      </w:r>
      <w:r>
        <w:rPr>
          <w:rFonts w:ascii="Aptos" w:eastAsia="Times New Roman" w:hAnsi="Aptos" w:cs="Times New Roman"/>
          <w:sz w:val="24"/>
          <w:szCs w:val="24"/>
        </w:rPr>
        <w:t>,</w:t>
      </w:r>
      <w:r w:rsidRPr="00D716BD">
        <w:rPr>
          <w:rFonts w:ascii="Aptos" w:eastAsia="Times New Roman" w:hAnsi="Aptos" w:cs="Times New Roman"/>
          <w:sz w:val="24"/>
          <w:szCs w:val="24"/>
        </w:rPr>
        <w:t xml:space="preserve"> </w:t>
      </w:r>
      <w:r>
        <w:rPr>
          <w:rFonts w:ascii="Aptos" w:eastAsia="Times New Roman" w:hAnsi="Aptos" w:cs="Times New Roman"/>
          <w:sz w:val="24"/>
          <w:szCs w:val="24"/>
        </w:rPr>
        <w:t>not</w:t>
      </w:r>
      <w:r w:rsidRPr="00D716BD">
        <w:rPr>
          <w:rFonts w:ascii="Aptos" w:eastAsia="Times New Roman" w:hAnsi="Aptos" w:cs="Times New Roman"/>
          <w:sz w:val="24"/>
          <w:szCs w:val="24"/>
        </w:rPr>
        <w:t xml:space="preserve"> just TUSD</w:t>
      </w:r>
      <w:r>
        <w:rPr>
          <w:rFonts w:ascii="Aptos" w:eastAsia="Times New Roman" w:hAnsi="Aptos" w:cs="Times New Roman"/>
          <w:sz w:val="24"/>
          <w:szCs w:val="24"/>
        </w:rPr>
        <w:t xml:space="preserve">. Neighboring school districts are also looking to join larger pools or are already in them. </w:t>
      </w:r>
      <w:r w:rsidR="004412F5">
        <w:rPr>
          <w:rFonts w:ascii="Aptos" w:eastAsia="Times New Roman" w:hAnsi="Aptos" w:cs="Times New Roman"/>
          <w:sz w:val="24"/>
          <w:szCs w:val="24"/>
        </w:rPr>
        <w:t xml:space="preserve">The picture is grim. The immediate goal is find a pathway that better serves our health needs while trying to protect us from the incredible harm being done to our livelihoods due to health costs.  </w:t>
      </w:r>
    </w:p>
    <w:p w14:paraId="0C8877E6" w14:textId="77777777" w:rsidR="004412F5" w:rsidRDefault="004412F5" w:rsidP="00D716BD">
      <w:pPr>
        <w:rPr>
          <w:rFonts w:ascii="Aptos" w:eastAsia="Times New Roman" w:hAnsi="Aptos" w:cs="Times New Roman"/>
          <w:sz w:val="24"/>
          <w:szCs w:val="24"/>
        </w:rPr>
      </w:pPr>
    </w:p>
    <w:p w14:paraId="44B31CB9" w14:textId="3DEE1F27" w:rsidR="00FB0753" w:rsidRDefault="004412F5">
      <w:pPr>
        <w:rPr>
          <w:rFonts w:ascii="Aptos" w:eastAsia="Times New Roman" w:hAnsi="Aptos" w:cs="Times New Roman"/>
          <w:sz w:val="24"/>
          <w:szCs w:val="24"/>
        </w:rPr>
      </w:pPr>
      <w:r>
        <w:rPr>
          <w:rFonts w:ascii="Aptos" w:eastAsia="Times New Roman" w:hAnsi="Aptos" w:cs="Times New Roman"/>
          <w:sz w:val="24"/>
          <w:szCs w:val="24"/>
        </w:rPr>
        <w:t>The next IAC</w:t>
      </w:r>
      <w:r w:rsidR="00D716BD" w:rsidRPr="00D716BD">
        <w:rPr>
          <w:rFonts w:ascii="Aptos" w:eastAsia="Times New Roman" w:hAnsi="Aptos" w:cs="Times New Roman"/>
          <w:sz w:val="24"/>
          <w:szCs w:val="24"/>
        </w:rPr>
        <w:t xml:space="preserve"> meeting</w:t>
      </w:r>
      <w:r>
        <w:rPr>
          <w:rFonts w:ascii="Aptos" w:eastAsia="Times New Roman" w:hAnsi="Aptos" w:cs="Times New Roman"/>
          <w:sz w:val="24"/>
          <w:szCs w:val="24"/>
        </w:rPr>
        <w:t xml:space="preserve"> is scheduled for</w:t>
      </w:r>
      <w:r w:rsidR="00D716BD" w:rsidRPr="00D716BD">
        <w:rPr>
          <w:rFonts w:ascii="Aptos" w:eastAsia="Times New Roman" w:hAnsi="Aptos" w:cs="Times New Roman"/>
          <w:sz w:val="24"/>
          <w:szCs w:val="24"/>
        </w:rPr>
        <w:t xml:space="preserve"> May 18</w:t>
      </w:r>
      <w:r w:rsidRPr="004412F5">
        <w:rPr>
          <w:rFonts w:ascii="Aptos" w:eastAsia="Times New Roman" w:hAnsi="Aptos" w:cs="Times New Roman"/>
          <w:sz w:val="24"/>
          <w:szCs w:val="24"/>
          <w:vertAlign w:val="superscript"/>
        </w:rPr>
        <w:t>th</w:t>
      </w:r>
      <w:r>
        <w:rPr>
          <w:rFonts w:ascii="Aptos" w:eastAsia="Times New Roman" w:hAnsi="Aptos" w:cs="Times New Roman"/>
          <w:sz w:val="24"/>
          <w:szCs w:val="24"/>
        </w:rPr>
        <w:t>. On that date, the committee is</w:t>
      </w:r>
      <w:r w:rsidR="00D716BD" w:rsidRPr="00D716BD">
        <w:rPr>
          <w:rFonts w:ascii="Aptos" w:eastAsia="Times New Roman" w:hAnsi="Aptos" w:cs="Times New Roman"/>
          <w:sz w:val="24"/>
          <w:szCs w:val="24"/>
        </w:rPr>
        <w:t xml:space="preserve"> expected to receive the actual rates for renewal</w:t>
      </w:r>
      <w:r>
        <w:rPr>
          <w:rFonts w:ascii="Aptos" w:eastAsia="Times New Roman" w:hAnsi="Aptos" w:cs="Times New Roman"/>
          <w:sz w:val="24"/>
          <w:szCs w:val="24"/>
        </w:rPr>
        <w:t xml:space="preserve"> for the 2026-2027 plan year.</w:t>
      </w:r>
      <w:r w:rsidR="00F82F3C">
        <w:rPr>
          <w:rFonts w:ascii="Aptos" w:eastAsia="Times New Roman" w:hAnsi="Aptos" w:cs="Times New Roman"/>
          <w:sz w:val="24"/>
          <w:szCs w:val="24"/>
        </w:rPr>
        <w:t xml:space="preserve"> </w:t>
      </w:r>
    </w:p>
    <w:p w14:paraId="4E5FE0FC" w14:textId="77777777" w:rsidR="00C325C7" w:rsidRDefault="00C325C7">
      <w:pPr>
        <w:rPr>
          <w:rFonts w:ascii="Aptos" w:eastAsia="Times New Roman" w:hAnsi="Aptos" w:cs="Times New Roman"/>
          <w:sz w:val="24"/>
          <w:szCs w:val="24"/>
        </w:rPr>
      </w:pPr>
    </w:p>
    <w:p w14:paraId="713A1338" w14:textId="77777777" w:rsidR="00C325C7" w:rsidRDefault="00C325C7">
      <w:pPr>
        <w:rPr>
          <w:rFonts w:ascii="Aptos" w:eastAsia="Times New Roman" w:hAnsi="Aptos" w:cs="Times New Roman"/>
          <w:sz w:val="24"/>
          <w:szCs w:val="24"/>
        </w:rPr>
      </w:pPr>
    </w:p>
    <w:p w14:paraId="1328428E" w14:textId="77777777" w:rsidR="00C325C7" w:rsidRDefault="00C325C7">
      <w:pPr>
        <w:rPr>
          <w:rFonts w:ascii="Aptos" w:eastAsia="Times New Roman" w:hAnsi="Aptos" w:cs="Times New Roman"/>
          <w:sz w:val="24"/>
          <w:szCs w:val="24"/>
        </w:rPr>
      </w:pPr>
    </w:p>
    <w:p w14:paraId="06BC6D6C" w14:textId="77777777" w:rsidR="00C325C7" w:rsidRDefault="00C325C7">
      <w:pPr>
        <w:rPr>
          <w:rFonts w:ascii="Aptos" w:eastAsia="Times New Roman" w:hAnsi="Aptos" w:cs="Times New Roman"/>
          <w:sz w:val="24"/>
          <w:szCs w:val="24"/>
        </w:rPr>
      </w:pPr>
    </w:p>
    <w:p w14:paraId="78DBD86E" w14:textId="77777777" w:rsidR="00C325C7" w:rsidRDefault="00C325C7">
      <w:pPr>
        <w:rPr>
          <w:rFonts w:ascii="Aptos" w:eastAsia="Times New Roman" w:hAnsi="Aptos" w:cs="Times New Roman"/>
          <w:sz w:val="24"/>
          <w:szCs w:val="24"/>
        </w:rPr>
      </w:pPr>
    </w:p>
    <w:p w14:paraId="14D5C47A" w14:textId="77777777" w:rsidR="009B3048" w:rsidRDefault="009B3048">
      <w:pPr>
        <w:rPr>
          <w:rFonts w:ascii="Aptos" w:eastAsia="Times New Roman" w:hAnsi="Aptos" w:cs="Times New Roman"/>
          <w:sz w:val="24"/>
          <w:szCs w:val="24"/>
        </w:rPr>
      </w:pPr>
    </w:p>
    <w:p w14:paraId="76FD4501" w14:textId="77777777" w:rsidR="009B3048" w:rsidRDefault="009B3048">
      <w:pPr>
        <w:rPr>
          <w:rFonts w:ascii="Aptos" w:eastAsia="Times New Roman" w:hAnsi="Aptos" w:cs="Times New Roman"/>
          <w:sz w:val="24"/>
          <w:szCs w:val="24"/>
        </w:rPr>
      </w:pPr>
    </w:p>
    <w:p w14:paraId="4199271D" w14:textId="3760BDD0" w:rsidR="00C325C7" w:rsidRDefault="00C325C7">
      <w:pPr>
        <w:rPr>
          <w:rFonts w:ascii="Aptos" w:eastAsia="Times New Roman" w:hAnsi="Aptos" w:cs="Times New Roman"/>
          <w:sz w:val="24"/>
          <w:szCs w:val="24"/>
        </w:rPr>
      </w:pPr>
      <w:r>
        <w:rPr>
          <w:rFonts w:ascii="Aptos" w:eastAsia="Times New Roman" w:hAnsi="Aptos" w:cs="Times New Roman"/>
          <w:sz w:val="24"/>
          <w:szCs w:val="24"/>
        </w:rPr>
        <w:lastRenderedPageBreak/>
        <w:t>UNDERSTANDING THE HEALTH &amp; WELFARE FUNDING POOL</w:t>
      </w:r>
    </w:p>
    <w:p w14:paraId="6A1690F4" w14:textId="388D730F" w:rsidR="00C325C7" w:rsidRDefault="00C325C7">
      <w:pPr>
        <w:rPr>
          <w:rFonts w:ascii="Aptos" w:eastAsia="Times New Roman" w:hAnsi="Aptos" w:cs="Times New Roman"/>
          <w:sz w:val="24"/>
          <w:szCs w:val="24"/>
        </w:rPr>
      </w:pPr>
    </w:p>
    <w:p w14:paraId="4F34C912" w14:textId="421D043E" w:rsidR="00C325C7" w:rsidRDefault="00C325C7">
      <w:pPr>
        <w:rPr>
          <w:rFonts w:ascii="Aptos" w:eastAsia="Times New Roman" w:hAnsi="Aptos" w:cs="Times New Roman"/>
          <w:sz w:val="24"/>
          <w:szCs w:val="24"/>
        </w:rPr>
      </w:pPr>
      <w:r>
        <w:rPr>
          <w:rFonts w:ascii="Aptos" w:eastAsia="Times New Roman" w:hAnsi="Aptos" w:cs="Times New Roman"/>
          <w:sz w:val="24"/>
          <w:szCs w:val="24"/>
        </w:rPr>
        <w:t xml:space="preserve">Torrance Unified funds employee health and welfare benefits with a combination of contributions from them, as the employer, and contributions from the employees. TUSD negotiates with four different local unions: TTA (certificated employees), CSEA 845 (paraeducators +), CSEA 19 (clerical employees), SEIU 99 (the trades). Each union negotiates a separate TUSD contribution. Administrators also have a different cap than TTA’s negotiated cap. Beginning July 1, 2026, TTA’s cap will increase from $10,500 to $12,500. Each of the other employee groups have a different amount that TUSD contributes into the pool per employee. The key here is that TUSD does contribute to the pool for each full-time equivalent employee at the negotiated rate whether they participate in TUSD’s benefit plans or not. </w:t>
      </w:r>
    </w:p>
    <w:p w14:paraId="0C149B24" w14:textId="77777777" w:rsidR="00C325C7" w:rsidRDefault="00C325C7">
      <w:pPr>
        <w:rPr>
          <w:rFonts w:ascii="Aptos" w:eastAsia="Times New Roman" w:hAnsi="Aptos" w:cs="Times New Roman"/>
          <w:sz w:val="24"/>
          <w:szCs w:val="24"/>
        </w:rPr>
      </w:pPr>
    </w:p>
    <w:p w14:paraId="3EE43192" w14:textId="6C06EB3F" w:rsidR="00826B2B" w:rsidRDefault="00C325C7">
      <w:pPr>
        <w:rPr>
          <w:rFonts w:ascii="Aptos" w:eastAsia="Times New Roman" w:hAnsi="Aptos" w:cs="Times New Roman"/>
          <w:sz w:val="24"/>
          <w:szCs w:val="24"/>
        </w:rPr>
      </w:pPr>
      <w:r>
        <w:rPr>
          <w:rFonts w:ascii="Aptos" w:eastAsia="Times New Roman" w:hAnsi="Aptos" w:cs="Times New Roman"/>
          <w:sz w:val="24"/>
          <w:szCs w:val="24"/>
        </w:rPr>
        <w:t xml:space="preserve">The District’s contribution does not cover the costs of doing business though. </w:t>
      </w:r>
      <w:r w:rsidR="00937631">
        <w:rPr>
          <w:rFonts w:ascii="Aptos" w:eastAsia="Times New Roman" w:hAnsi="Aptos" w:cs="Times New Roman"/>
          <w:sz w:val="24"/>
          <w:szCs w:val="24"/>
        </w:rPr>
        <w:t>To keep the plan solvent, e</w:t>
      </w:r>
      <w:r>
        <w:rPr>
          <w:rFonts w:ascii="Aptos" w:eastAsia="Times New Roman" w:hAnsi="Aptos" w:cs="Times New Roman"/>
          <w:sz w:val="24"/>
          <w:szCs w:val="24"/>
        </w:rPr>
        <w:t xml:space="preserve">mployees </w:t>
      </w:r>
      <w:proofErr w:type="gramStart"/>
      <w:r>
        <w:rPr>
          <w:rFonts w:ascii="Aptos" w:eastAsia="Times New Roman" w:hAnsi="Aptos" w:cs="Times New Roman"/>
          <w:sz w:val="24"/>
          <w:szCs w:val="24"/>
        </w:rPr>
        <w:t>have to</w:t>
      </w:r>
      <w:proofErr w:type="gramEnd"/>
      <w:r>
        <w:rPr>
          <w:rFonts w:ascii="Aptos" w:eastAsia="Times New Roman" w:hAnsi="Aptos" w:cs="Times New Roman"/>
          <w:sz w:val="24"/>
          <w:szCs w:val="24"/>
        </w:rPr>
        <w:t xml:space="preserve"> contribute the difference to </w:t>
      </w:r>
      <w:proofErr w:type="gramStart"/>
      <w:r>
        <w:rPr>
          <w:rFonts w:ascii="Aptos" w:eastAsia="Times New Roman" w:hAnsi="Aptos" w:cs="Times New Roman"/>
          <w:sz w:val="24"/>
          <w:szCs w:val="24"/>
        </w:rPr>
        <w:t>pay</w:t>
      </w:r>
      <w:proofErr w:type="gramEnd"/>
      <w:r>
        <w:rPr>
          <w:rFonts w:ascii="Aptos" w:eastAsia="Times New Roman" w:hAnsi="Aptos" w:cs="Times New Roman"/>
          <w:sz w:val="24"/>
          <w:szCs w:val="24"/>
        </w:rPr>
        <w:t xml:space="preserve"> the </w:t>
      </w:r>
      <w:r w:rsidR="00937631">
        <w:rPr>
          <w:rFonts w:ascii="Aptos" w:eastAsia="Times New Roman" w:hAnsi="Aptos" w:cs="Times New Roman"/>
          <w:sz w:val="24"/>
          <w:szCs w:val="24"/>
        </w:rPr>
        <w:t xml:space="preserve">costs of the </w:t>
      </w:r>
      <w:r>
        <w:rPr>
          <w:rFonts w:ascii="Aptos" w:eastAsia="Times New Roman" w:hAnsi="Aptos" w:cs="Times New Roman"/>
          <w:sz w:val="24"/>
          <w:szCs w:val="24"/>
        </w:rPr>
        <w:t>plans</w:t>
      </w:r>
      <w:r w:rsidR="00937631">
        <w:rPr>
          <w:rFonts w:ascii="Aptos" w:eastAsia="Times New Roman" w:hAnsi="Aptos" w:cs="Times New Roman"/>
          <w:sz w:val="24"/>
          <w:szCs w:val="24"/>
        </w:rPr>
        <w:t xml:space="preserve">. The amount the employee pays varies by the plan they choose (EPO, Kaiser Basic, or Kaiser B) and how many people they cover (Employee only, Employee + Spouse, Employee + Child, Employee + Family). If the employee opts to not participate, then they contribute nothing into the plan. The decision to cover the individual </w:t>
      </w:r>
      <w:proofErr w:type="gramStart"/>
      <w:r w:rsidR="00937631">
        <w:rPr>
          <w:rFonts w:ascii="Aptos" w:eastAsia="Times New Roman" w:hAnsi="Aptos" w:cs="Times New Roman"/>
          <w:sz w:val="24"/>
          <w:szCs w:val="24"/>
        </w:rPr>
        <w:t>employee only</w:t>
      </w:r>
      <w:proofErr w:type="gramEnd"/>
      <w:r w:rsidR="00937631">
        <w:rPr>
          <w:rFonts w:ascii="Aptos" w:eastAsia="Times New Roman" w:hAnsi="Aptos" w:cs="Times New Roman"/>
          <w:sz w:val="24"/>
          <w:szCs w:val="24"/>
        </w:rPr>
        <w:t xml:space="preserve"> with </w:t>
      </w:r>
      <w:proofErr w:type="gramStart"/>
      <w:r w:rsidR="00937631">
        <w:rPr>
          <w:rFonts w:ascii="Aptos" w:eastAsia="Times New Roman" w:hAnsi="Aptos" w:cs="Times New Roman"/>
          <w:sz w:val="24"/>
          <w:szCs w:val="24"/>
        </w:rPr>
        <w:t>the District</w:t>
      </w:r>
      <w:proofErr w:type="gramEnd"/>
      <w:r w:rsidR="00937631">
        <w:rPr>
          <w:rFonts w:ascii="Aptos" w:eastAsia="Times New Roman" w:hAnsi="Aptos" w:cs="Times New Roman"/>
          <w:sz w:val="24"/>
          <w:szCs w:val="24"/>
        </w:rPr>
        <w:t xml:space="preserve"> contribution started in the early 2010’s due to steep increases in coverage year after year. TTA also negotiated three increases in the District contributions over a four year period before TUSD provided a rate pass (not increasing employee contributions) for nine consecutive years. Unfortunately, </w:t>
      </w:r>
      <w:r w:rsidR="00826B2B">
        <w:rPr>
          <w:rFonts w:ascii="Aptos" w:eastAsia="Times New Roman" w:hAnsi="Aptos" w:cs="Times New Roman"/>
          <w:sz w:val="24"/>
          <w:szCs w:val="24"/>
        </w:rPr>
        <w:t>these rate passes depleted the funding pool’s surplus funds. This has created a spiral of price increases and decrease</w:t>
      </w:r>
      <w:r w:rsidR="00C00847">
        <w:rPr>
          <w:rFonts w:ascii="Aptos" w:eastAsia="Times New Roman" w:hAnsi="Aptos" w:cs="Times New Roman"/>
          <w:sz w:val="24"/>
          <w:szCs w:val="24"/>
        </w:rPr>
        <w:t>d</w:t>
      </w:r>
      <w:r w:rsidR="00826B2B">
        <w:rPr>
          <w:rFonts w:ascii="Aptos" w:eastAsia="Times New Roman" w:hAnsi="Aptos" w:cs="Times New Roman"/>
          <w:sz w:val="24"/>
          <w:szCs w:val="24"/>
        </w:rPr>
        <w:t xml:space="preserve"> employee participation that threatens the pool. </w:t>
      </w:r>
    </w:p>
    <w:p w14:paraId="6B593CC3" w14:textId="77777777" w:rsidR="00826B2B" w:rsidRDefault="00826B2B">
      <w:pPr>
        <w:rPr>
          <w:rFonts w:ascii="Aptos" w:eastAsia="Times New Roman" w:hAnsi="Aptos" w:cs="Times New Roman"/>
          <w:sz w:val="24"/>
          <w:szCs w:val="24"/>
        </w:rPr>
      </w:pPr>
    </w:p>
    <w:p w14:paraId="7C536439" w14:textId="77777777" w:rsidR="00C00847" w:rsidRDefault="00C00847">
      <w:pPr>
        <w:rPr>
          <w:rFonts w:ascii="Aptos" w:eastAsia="Times New Roman" w:hAnsi="Aptos" w:cs="Times New Roman"/>
          <w:sz w:val="24"/>
          <w:szCs w:val="24"/>
        </w:rPr>
      </w:pPr>
      <w:r>
        <w:rPr>
          <w:rFonts w:ascii="Aptos" w:eastAsia="Times New Roman" w:hAnsi="Aptos" w:cs="Times New Roman"/>
          <w:sz w:val="24"/>
          <w:szCs w:val="24"/>
        </w:rPr>
        <w:t xml:space="preserve">The way the pool works is </w:t>
      </w:r>
      <w:proofErr w:type="gramStart"/>
      <w:r>
        <w:rPr>
          <w:rFonts w:ascii="Aptos" w:eastAsia="Times New Roman" w:hAnsi="Aptos" w:cs="Times New Roman"/>
          <w:sz w:val="24"/>
          <w:szCs w:val="24"/>
        </w:rPr>
        <w:t>fairly simple</w:t>
      </w:r>
      <w:proofErr w:type="gramEnd"/>
      <w:r>
        <w:rPr>
          <w:rFonts w:ascii="Aptos" w:eastAsia="Times New Roman" w:hAnsi="Aptos" w:cs="Times New Roman"/>
          <w:sz w:val="24"/>
          <w:szCs w:val="24"/>
        </w:rPr>
        <w:t xml:space="preserve">. </w:t>
      </w:r>
      <w:r w:rsidR="00826B2B">
        <w:rPr>
          <w:rFonts w:ascii="Aptos" w:eastAsia="Times New Roman" w:hAnsi="Aptos" w:cs="Times New Roman"/>
          <w:sz w:val="24"/>
          <w:szCs w:val="24"/>
        </w:rPr>
        <w:t xml:space="preserve">TUSD contributes the negotiated amount for every employee. Employees contribute the rates set each year. Those rates offset the cost to run the plans. The pool pays premiums, claims for health, dental, vision, and life plans, as well as for stop loss insurance that covers claims of over $200,000 for an individual. Any money left over at the end of the </w:t>
      </w:r>
      <w:proofErr w:type="gramStart"/>
      <w:r w:rsidR="00826B2B">
        <w:rPr>
          <w:rFonts w:ascii="Aptos" w:eastAsia="Times New Roman" w:hAnsi="Aptos" w:cs="Times New Roman"/>
          <w:sz w:val="24"/>
          <w:szCs w:val="24"/>
        </w:rPr>
        <w:t>plan</w:t>
      </w:r>
      <w:proofErr w:type="gramEnd"/>
      <w:r w:rsidR="00826B2B">
        <w:rPr>
          <w:rFonts w:ascii="Aptos" w:eastAsia="Times New Roman" w:hAnsi="Aptos" w:cs="Times New Roman"/>
          <w:sz w:val="24"/>
          <w:szCs w:val="24"/>
        </w:rPr>
        <w:t xml:space="preserve"> year can be used to offset premium costs in the following year. That money is often called “the subsidy” because it has traditionally been used to subsidize </w:t>
      </w:r>
      <w:r>
        <w:rPr>
          <w:rFonts w:ascii="Aptos" w:eastAsia="Times New Roman" w:hAnsi="Aptos" w:cs="Times New Roman"/>
          <w:sz w:val="24"/>
          <w:szCs w:val="24"/>
        </w:rPr>
        <w:t xml:space="preserve">annual </w:t>
      </w:r>
      <w:r w:rsidR="00826B2B">
        <w:rPr>
          <w:rFonts w:ascii="Aptos" w:eastAsia="Times New Roman" w:hAnsi="Aptos" w:cs="Times New Roman"/>
          <w:sz w:val="24"/>
          <w:szCs w:val="24"/>
        </w:rPr>
        <w:t xml:space="preserve">out-of-pocket costs for employees. </w:t>
      </w:r>
    </w:p>
    <w:p w14:paraId="6E31295F" w14:textId="77777777" w:rsidR="00C00847" w:rsidRDefault="00C00847">
      <w:pPr>
        <w:rPr>
          <w:rFonts w:ascii="Aptos" w:eastAsia="Times New Roman" w:hAnsi="Aptos" w:cs="Times New Roman"/>
          <w:sz w:val="24"/>
          <w:szCs w:val="24"/>
        </w:rPr>
      </w:pPr>
    </w:p>
    <w:p w14:paraId="15BD9A16" w14:textId="624332EE" w:rsidR="00C00847" w:rsidRDefault="00826B2B">
      <w:pPr>
        <w:rPr>
          <w:rFonts w:ascii="Aptos" w:eastAsia="Times New Roman" w:hAnsi="Aptos" w:cs="Times New Roman"/>
          <w:sz w:val="24"/>
          <w:szCs w:val="24"/>
        </w:rPr>
      </w:pPr>
      <w:r>
        <w:rPr>
          <w:rFonts w:ascii="Aptos" w:eastAsia="Times New Roman" w:hAnsi="Aptos" w:cs="Times New Roman"/>
          <w:sz w:val="24"/>
          <w:szCs w:val="24"/>
        </w:rPr>
        <w:t xml:space="preserve">The problem </w:t>
      </w:r>
      <w:r w:rsidR="00C00847">
        <w:rPr>
          <w:rFonts w:ascii="Aptos" w:eastAsia="Times New Roman" w:hAnsi="Aptos" w:cs="Times New Roman"/>
          <w:sz w:val="24"/>
          <w:szCs w:val="24"/>
        </w:rPr>
        <w:t xml:space="preserve">with the pool right now </w:t>
      </w:r>
      <w:r>
        <w:rPr>
          <w:rFonts w:ascii="Aptos" w:eastAsia="Times New Roman" w:hAnsi="Aptos" w:cs="Times New Roman"/>
          <w:sz w:val="24"/>
          <w:szCs w:val="24"/>
        </w:rPr>
        <w:t xml:space="preserve">is that </w:t>
      </w:r>
      <w:r w:rsidR="00C00847">
        <w:rPr>
          <w:rFonts w:ascii="Aptos" w:eastAsia="Times New Roman" w:hAnsi="Aptos" w:cs="Times New Roman"/>
          <w:sz w:val="24"/>
          <w:szCs w:val="24"/>
        </w:rPr>
        <w:t xml:space="preserve">it </w:t>
      </w:r>
      <w:r>
        <w:rPr>
          <w:rFonts w:ascii="Aptos" w:eastAsia="Times New Roman" w:hAnsi="Aptos" w:cs="Times New Roman"/>
          <w:sz w:val="24"/>
          <w:szCs w:val="24"/>
        </w:rPr>
        <w:t>continues to lose employee contributions when employees can no longer afford to participate. When</w:t>
      </w:r>
      <w:r w:rsidR="00C00847">
        <w:rPr>
          <w:rFonts w:ascii="Aptos" w:eastAsia="Times New Roman" w:hAnsi="Aptos" w:cs="Times New Roman"/>
          <w:sz w:val="24"/>
          <w:szCs w:val="24"/>
        </w:rPr>
        <w:t xml:space="preserve"> employees drop out and purchase their benefits elsewhere,</w:t>
      </w:r>
      <w:r>
        <w:rPr>
          <w:rFonts w:ascii="Aptos" w:eastAsia="Times New Roman" w:hAnsi="Aptos" w:cs="Times New Roman"/>
          <w:sz w:val="24"/>
          <w:szCs w:val="24"/>
        </w:rPr>
        <w:t xml:space="preserve"> the premiums increase for those that remain to make up the difference. </w:t>
      </w:r>
      <w:r w:rsidR="00C00847">
        <w:rPr>
          <w:rFonts w:ascii="Aptos" w:eastAsia="Times New Roman" w:hAnsi="Aptos" w:cs="Times New Roman"/>
          <w:sz w:val="24"/>
          <w:szCs w:val="24"/>
        </w:rPr>
        <w:t xml:space="preserve">The pool shrinks as the premium costs increase. </w:t>
      </w:r>
      <w:r>
        <w:rPr>
          <w:rFonts w:ascii="Aptos" w:eastAsia="Times New Roman" w:hAnsi="Aptos" w:cs="Times New Roman"/>
          <w:sz w:val="24"/>
          <w:szCs w:val="24"/>
        </w:rPr>
        <w:t xml:space="preserve">When the </w:t>
      </w:r>
      <w:r w:rsidR="00C00847">
        <w:rPr>
          <w:rFonts w:ascii="Aptos" w:eastAsia="Times New Roman" w:hAnsi="Aptos" w:cs="Times New Roman"/>
          <w:sz w:val="24"/>
          <w:szCs w:val="24"/>
        </w:rPr>
        <w:t xml:space="preserve">pool </w:t>
      </w:r>
      <w:r>
        <w:rPr>
          <w:rFonts w:ascii="Aptos" w:eastAsia="Times New Roman" w:hAnsi="Aptos" w:cs="Times New Roman"/>
          <w:sz w:val="24"/>
          <w:szCs w:val="24"/>
        </w:rPr>
        <w:t>costs are greater than the income</w:t>
      </w:r>
      <w:r w:rsidR="00C00847">
        <w:rPr>
          <w:rFonts w:ascii="Aptos" w:eastAsia="Times New Roman" w:hAnsi="Aptos" w:cs="Times New Roman"/>
          <w:sz w:val="24"/>
          <w:szCs w:val="24"/>
        </w:rPr>
        <w:t xml:space="preserve"> generated from employer and employee contributions</w:t>
      </w:r>
      <w:r>
        <w:rPr>
          <w:rFonts w:ascii="Aptos" w:eastAsia="Times New Roman" w:hAnsi="Aptos" w:cs="Times New Roman"/>
          <w:sz w:val="24"/>
          <w:szCs w:val="24"/>
        </w:rPr>
        <w:t xml:space="preserve">, </w:t>
      </w:r>
      <w:r w:rsidR="00C00847">
        <w:rPr>
          <w:rFonts w:ascii="Aptos" w:eastAsia="Times New Roman" w:hAnsi="Aptos" w:cs="Times New Roman"/>
          <w:sz w:val="24"/>
          <w:szCs w:val="24"/>
        </w:rPr>
        <w:t xml:space="preserve">both the pool funds and </w:t>
      </w:r>
      <w:r>
        <w:rPr>
          <w:rFonts w:ascii="Aptos" w:eastAsia="Times New Roman" w:hAnsi="Aptos" w:cs="Times New Roman"/>
          <w:sz w:val="24"/>
          <w:szCs w:val="24"/>
        </w:rPr>
        <w:t xml:space="preserve">surplus </w:t>
      </w:r>
      <w:r w:rsidR="00C00847">
        <w:rPr>
          <w:rFonts w:ascii="Aptos" w:eastAsia="Times New Roman" w:hAnsi="Aptos" w:cs="Times New Roman"/>
          <w:sz w:val="24"/>
          <w:szCs w:val="24"/>
        </w:rPr>
        <w:t xml:space="preserve">funds shrink. The goal to protect the health of the benefits plans is to have the costs be less than the income so the surplus grows, costs can be covered, and the amount of money paid out-of-pocket can be offset. To return the plan to health, TUSD must incentivize employee participation in the plans, particularly the EPO. Again, there are no easy </w:t>
      </w:r>
      <w:proofErr w:type="gramStart"/>
      <w:r w:rsidR="00C00847">
        <w:rPr>
          <w:rFonts w:ascii="Aptos" w:eastAsia="Times New Roman" w:hAnsi="Aptos" w:cs="Times New Roman"/>
          <w:sz w:val="24"/>
          <w:szCs w:val="24"/>
        </w:rPr>
        <w:t>fixes</w:t>
      </w:r>
      <w:proofErr w:type="gramEnd"/>
      <w:r w:rsidR="00C00847">
        <w:rPr>
          <w:rFonts w:ascii="Aptos" w:eastAsia="Times New Roman" w:hAnsi="Aptos" w:cs="Times New Roman"/>
          <w:sz w:val="24"/>
          <w:szCs w:val="24"/>
        </w:rPr>
        <w:t xml:space="preserve"> to the problem, especially in a world where health care costs drastically outpace cost of living increases.</w:t>
      </w:r>
    </w:p>
    <w:p w14:paraId="38A34E7D" w14:textId="77777777" w:rsidR="00C00847" w:rsidRDefault="00C00847" w:rsidP="00C00847">
      <w:pPr>
        <w:rPr>
          <w:rFonts w:ascii="Aptos" w:eastAsia="Times New Roman" w:hAnsi="Aptos" w:cs="Times New Roman"/>
          <w:sz w:val="24"/>
          <w:szCs w:val="24"/>
        </w:rPr>
      </w:pPr>
      <w:r>
        <w:rPr>
          <w:rFonts w:ascii="Aptos" w:eastAsia="Times New Roman" w:hAnsi="Aptos" w:cs="Times New Roman"/>
          <w:sz w:val="24"/>
          <w:szCs w:val="24"/>
        </w:rPr>
        <w:t>The graphic below shows how the pool works.</w:t>
      </w:r>
    </w:p>
    <w:p w14:paraId="00B08860" w14:textId="77777777" w:rsidR="00826B2B" w:rsidRDefault="00826B2B">
      <w:pPr>
        <w:rPr>
          <w:rFonts w:ascii="Aptos" w:eastAsia="Times New Roman" w:hAnsi="Aptos" w:cs="Times New Roman"/>
          <w:sz w:val="24"/>
          <w:szCs w:val="24"/>
        </w:rPr>
      </w:pPr>
    </w:p>
    <w:p w14:paraId="50DBECFF" w14:textId="034129D3" w:rsidR="00826B2B" w:rsidRDefault="00826B2B">
      <w:pPr>
        <w:rPr>
          <w:rFonts w:ascii="Times New Roman" w:eastAsia="Times New Roman" w:hAnsi="Times New Roman" w:cs="Times New Roman"/>
          <w:noProof/>
          <w:sz w:val="26"/>
          <w:szCs w:val="26"/>
        </w:rPr>
      </w:pPr>
    </w:p>
    <w:p w14:paraId="587911EB" w14:textId="77777777" w:rsidR="00ED4C3E" w:rsidRDefault="00ED4C3E">
      <w:pPr>
        <w:rPr>
          <w:rFonts w:ascii="Times New Roman" w:eastAsia="Times New Roman" w:hAnsi="Times New Roman" w:cs="Times New Roman"/>
          <w:noProof/>
          <w:sz w:val="26"/>
          <w:szCs w:val="26"/>
        </w:rPr>
      </w:pPr>
    </w:p>
    <w:p w14:paraId="38F80BD5" w14:textId="30791E61" w:rsidR="00ED4C3E" w:rsidRDefault="00ED4C3E">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14:anchorId="318F2F01" wp14:editId="7415C7CE">
            <wp:extent cx="8791788" cy="5220546"/>
            <wp:effectExtent l="0" t="5080" r="4445" b="4445"/>
            <wp:docPr id="2139388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88995" name="Picture 2139388995"/>
                    <pic:cNvPicPr/>
                  </pic:nvPicPr>
                  <pic:blipFill>
                    <a:blip r:embed="rId4" cstate="print">
                      <a:extLst>
                        <a:ext uri="{28A0092B-C50C-407E-A947-70E740481C1C}">
                          <a14:useLocalDpi xmlns:a14="http://schemas.microsoft.com/office/drawing/2010/main" val="0"/>
                        </a:ext>
                      </a:extLst>
                    </a:blip>
                    <a:stretch>
                      <a:fillRect/>
                    </a:stretch>
                  </pic:blipFill>
                  <pic:spPr>
                    <a:xfrm rot="16200000">
                      <a:off x="0" y="0"/>
                      <a:ext cx="8823932" cy="5239633"/>
                    </a:xfrm>
                    <a:prstGeom prst="rect">
                      <a:avLst/>
                    </a:prstGeom>
                  </pic:spPr>
                </pic:pic>
              </a:graphicData>
            </a:graphic>
          </wp:inline>
        </w:drawing>
      </w:r>
    </w:p>
    <w:p w14:paraId="11803A4B" w14:textId="77777777" w:rsidR="00FB0753" w:rsidRDefault="00FB0753">
      <w:pPr>
        <w:rPr>
          <w:rFonts w:ascii="Times New Roman" w:eastAsia="Times New Roman" w:hAnsi="Times New Roman" w:cs="Times New Roman"/>
          <w:sz w:val="26"/>
          <w:szCs w:val="26"/>
        </w:rPr>
      </w:pPr>
    </w:p>
    <w:sectPr w:rsidR="00FB0753">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765A3FD5-86D2-4789-A37C-F334672188DB}"/>
    <w:embedBold r:id="rId2" w:fontKey="{F0A00CAC-AEEF-4203-AA50-80FF158EE404}"/>
    <w:embedItalic r:id="rId3" w:fontKey="{1D4F9394-6605-428F-8A4C-CAE6A364003A}"/>
  </w:font>
  <w:font w:name="Roboto">
    <w:charset w:val="00"/>
    <w:family w:val="auto"/>
    <w:pitch w:val="variable"/>
    <w:sig w:usb0="E0000AFF" w:usb1="5000217F" w:usb2="00000021" w:usb3="00000000" w:csb0="0000019F" w:csb1="00000000"/>
    <w:embedRegular r:id="rId4" w:fontKey="{30E87627-1F33-4A78-B023-184424B8BCA8}"/>
    <w:embedBold r:id="rId5" w:fontKey="{E65B24EF-F238-4A02-AD1E-BE965C61AA89}"/>
    <w:embedItalic r:id="rId6" w:fontKey="{FA7BA561-27E7-47EE-B7D7-75C06D8E0875}"/>
  </w:font>
  <w:font w:name="Calibri">
    <w:panose1 w:val="020F0502020204030204"/>
    <w:charset w:val="00"/>
    <w:family w:val="swiss"/>
    <w:pitch w:val="variable"/>
    <w:sig w:usb0="E4002EFF" w:usb1="C200247B" w:usb2="00000009" w:usb3="00000000" w:csb0="000001FF" w:csb1="00000000"/>
    <w:embedRegular r:id="rId7" w:fontKey="{23DF15FC-0A59-4A0F-878C-C3E157A5EA0E}"/>
  </w:font>
  <w:font w:name="Cambria">
    <w:panose1 w:val="02040503050406030204"/>
    <w:charset w:val="00"/>
    <w:family w:val="roman"/>
    <w:pitch w:val="variable"/>
    <w:sig w:usb0="E00006FF" w:usb1="420024FF" w:usb2="02000000" w:usb3="00000000" w:csb0="0000019F" w:csb1="00000000"/>
    <w:embedRegular r:id="rId8" w:fontKey="{1D83927B-5DC5-4BDE-AC27-0F0D553563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753"/>
    <w:rsid w:val="000135DE"/>
    <w:rsid w:val="00087023"/>
    <w:rsid w:val="000D0BF2"/>
    <w:rsid w:val="00197DBE"/>
    <w:rsid w:val="00232D19"/>
    <w:rsid w:val="0032143A"/>
    <w:rsid w:val="004412F5"/>
    <w:rsid w:val="00471CD3"/>
    <w:rsid w:val="00473548"/>
    <w:rsid w:val="005B336F"/>
    <w:rsid w:val="00690DAB"/>
    <w:rsid w:val="006D3CB7"/>
    <w:rsid w:val="00762F6E"/>
    <w:rsid w:val="00826B2B"/>
    <w:rsid w:val="008E39FC"/>
    <w:rsid w:val="00937631"/>
    <w:rsid w:val="00957CD6"/>
    <w:rsid w:val="009B3048"/>
    <w:rsid w:val="009C6671"/>
    <w:rsid w:val="00A06EB5"/>
    <w:rsid w:val="00AC645B"/>
    <w:rsid w:val="00AF2F56"/>
    <w:rsid w:val="00C00847"/>
    <w:rsid w:val="00C325C7"/>
    <w:rsid w:val="00C91C6F"/>
    <w:rsid w:val="00D716BD"/>
    <w:rsid w:val="00E147DA"/>
    <w:rsid w:val="00EC4B94"/>
    <w:rsid w:val="00ED4C3E"/>
    <w:rsid w:val="00F728F2"/>
    <w:rsid w:val="00F82F3C"/>
    <w:rsid w:val="00FB0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5B762"/>
  <w15:docId w15:val="{781AFBD1-D430-46EC-B1C7-6B7F544B0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5</Pages>
  <Words>1570</Words>
  <Characters>8954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Shankle</cp:lastModifiedBy>
  <cp:revision>12</cp:revision>
  <cp:lastPrinted>2026-03-19T22:01:00Z</cp:lastPrinted>
  <dcterms:created xsi:type="dcterms:W3CDTF">2026-03-12T16:28:00Z</dcterms:created>
  <dcterms:modified xsi:type="dcterms:W3CDTF">2026-03-19T22:03:00Z</dcterms:modified>
</cp:coreProperties>
</file>